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38B1" w14:textId="56D757A5" w:rsidR="009E762D" w:rsidRPr="00E67BFB" w:rsidRDefault="00850DED" w:rsidP="00850DED">
      <w:pPr>
        <w:pStyle w:val="Title"/>
        <w:jc w:val="center"/>
        <w:rPr>
          <w:sz w:val="24"/>
        </w:rPr>
      </w:pPr>
      <w:bookmarkStart w:id="0" w:name="_Toc429448504"/>
      <w:r>
        <w:rPr>
          <w:sz w:val="44"/>
        </w:rPr>
        <w:t>Hall C</w:t>
      </w:r>
      <w:r w:rsidR="00804B21">
        <w:rPr>
          <w:sz w:val="44"/>
        </w:rPr>
        <w:t xml:space="preserve"> Target</w:t>
      </w:r>
      <w:r>
        <w:rPr>
          <w:sz w:val="44"/>
        </w:rPr>
        <w:t xml:space="preserve"> Configuration </w:t>
      </w:r>
      <w:r w:rsidR="00547B64">
        <w:rPr>
          <w:sz w:val="44"/>
        </w:rPr>
        <w:t>June 2022</w:t>
      </w:r>
    </w:p>
    <w:p w14:paraId="05DFBB3C" w14:textId="074CBDCE" w:rsidR="00292E40" w:rsidRPr="00056EFE" w:rsidRDefault="00292E40" w:rsidP="009E762D">
      <w:pPr>
        <w:pStyle w:val="Subtitle"/>
        <w:jc w:val="center"/>
      </w:pPr>
      <w:r w:rsidRPr="00056EFE">
        <w:rPr>
          <w:noProof/>
        </w:rPr>
        <w:drawing>
          <wp:inline distT="0" distB="0" distL="0" distR="0" wp14:anchorId="4A0C0FC1" wp14:editId="4BC53162">
            <wp:extent cx="5486400" cy="1248199"/>
            <wp:effectExtent l="0" t="0" r="0" b="9525"/>
            <wp:docPr id="2" name="Picture 2" descr="https://www.jlab.org/div_dept/dir_off/public_affairs/logo/JLab_logo_text_white_b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lab.org/div_dept/dir_off/public_affairs/logo/JLab_logo_text_white_b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AD02" w14:textId="77777777" w:rsidR="00292E40" w:rsidRPr="00056EFE" w:rsidRDefault="00292E40" w:rsidP="00292E40">
      <w:pPr>
        <w:pStyle w:val="Subtitle"/>
        <w:jc w:val="center"/>
      </w:pPr>
      <w:r w:rsidRPr="00056EFE">
        <w:t>Engineering Report</w:t>
      </w:r>
    </w:p>
    <w:p w14:paraId="7AE0191D" w14:textId="77777777" w:rsidR="00292E40" w:rsidRPr="00056EFE" w:rsidRDefault="00292E40" w:rsidP="00292E40">
      <w:pPr>
        <w:spacing w:after="0"/>
      </w:pPr>
    </w:p>
    <w:p w14:paraId="02306340" w14:textId="77777777" w:rsidR="00292E40" w:rsidRPr="00056EFE" w:rsidRDefault="00292E40" w:rsidP="00292E40">
      <w:pPr>
        <w:spacing w:after="0"/>
      </w:pPr>
      <w:r w:rsidRPr="00056EFE">
        <w:t>Thomas Jefferson National Accelerator Facility</w:t>
      </w:r>
    </w:p>
    <w:p w14:paraId="155C4F84" w14:textId="77777777" w:rsidR="00292E40" w:rsidRPr="00056EFE" w:rsidRDefault="00292E40" w:rsidP="00292E40">
      <w:pPr>
        <w:spacing w:after="0"/>
      </w:pPr>
      <w:r w:rsidRPr="00056EFE">
        <w:t>12000 Jefferson Ave.</w:t>
      </w:r>
    </w:p>
    <w:p w14:paraId="11633674" w14:textId="77777777" w:rsidR="00292E40" w:rsidRPr="00056EFE" w:rsidRDefault="00292E40" w:rsidP="00292E40">
      <w:pPr>
        <w:spacing w:after="0"/>
      </w:pPr>
      <w:r w:rsidRPr="00056EFE">
        <w:t>Newport News Virginia, 23606</w:t>
      </w:r>
    </w:p>
    <w:p w14:paraId="262CACCD" w14:textId="77777777" w:rsidR="00292E40" w:rsidRPr="00056EFE" w:rsidRDefault="00292E40" w:rsidP="00292E4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6611"/>
      </w:tblGrid>
      <w:tr w:rsidR="00292E40" w:rsidRPr="00056EFE" w14:paraId="356395E1" w14:textId="77777777" w:rsidTr="00BD72A3">
        <w:trPr>
          <w:jc w:val="center"/>
        </w:trPr>
        <w:tc>
          <w:tcPr>
            <w:tcW w:w="8856" w:type="dxa"/>
            <w:gridSpan w:val="2"/>
          </w:tcPr>
          <w:p w14:paraId="1AEDF1D7" w14:textId="78AAE06E" w:rsidR="00292E40" w:rsidRPr="00056EFE" w:rsidRDefault="00292E40" w:rsidP="0022753F">
            <w:r w:rsidRPr="00056EFE">
              <w:t xml:space="preserve">Document Title: </w:t>
            </w:r>
            <w:r w:rsidR="00547B64" w:rsidRPr="00547B64">
              <w:t>Hall C Target Configuration June 2022</w:t>
            </w:r>
          </w:p>
        </w:tc>
      </w:tr>
      <w:tr w:rsidR="00292E40" w:rsidRPr="00056EFE" w14:paraId="7EAAF61C" w14:textId="77777777" w:rsidTr="00BD72A3">
        <w:trPr>
          <w:jc w:val="center"/>
        </w:trPr>
        <w:tc>
          <w:tcPr>
            <w:tcW w:w="8856" w:type="dxa"/>
            <w:gridSpan w:val="2"/>
          </w:tcPr>
          <w:p w14:paraId="4879AB3C" w14:textId="5C02BA43" w:rsidR="00292E40" w:rsidRPr="00056EFE" w:rsidRDefault="00292E40" w:rsidP="00BD72A3">
            <w:r w:rsidRPr="00056EFE">
              <w:t>Doc</w:t>
            </w:r>
            <w:r w:rsidR="00E67BFB">
              <w:t>ument Nu</w:t>
            </w:r>
            <w:r w:rsidR="00850DED">
              <w:t>mber: TGT-RPT-</w:t>
            </w:r>
            <w:r w:rsidR="007D0F0D">
              <w:t>2</w:t>
            </w:r>
            <w:r w:rsidR="00DC1D0C">
              <w:t>2</w:t>
            </w:r>
            <w:r w:rsidR="007D0F0D">
              <w:t>-00</w:t>
            </w:r>
            <w:r w:rsidR="00547B64">
              <w:t>3</w:t>
            </w:r>
          </w:p>
        </w:tc>
      </w:tr>
      <w:tr w:rsidR="00292E40" w:rsidRPr="00056EFE" w14:paraId="35791350" w14:textId="77777777" w:rsidTr="003C69AB">
        <w:trPr>
          <w:jc w:val="center"/>
        </w:trPr>
        <w:tc>
          <w:tcPr>
            <w:tcW w:w="2245" w:type="dxa"/>
          </w:tcPr>
          <w:p w14:paraId="7FB07DCA" w14:textId="3FC76F62" w:rsidR="00292E40" w:rsidRPr="00056EFE" w:rsidRDefault="00292E40" w:rsidP="00BD72A3"/>
        </w:tc>
        <w:tc>
          <w:tcPr>
            <w:tcW w:w="6611" w:type="dxa"/>
          </w:tcPr>
          <w:p w14:paraId="30D6A4B2" w14:textId="77777777" w:rsidR="00292E40" w:rsidRPr="00056EFE" w:rsidRDefault="00292E40" w:rsidP="00BD72A3">
            <w:r w:rsidRPr="00056EFE">
              <w:t>Revision:  0</w:t>
            </w:r>
          </w:p>
        </w:tc>
      </w:tr>
      <w:tr w:rsidR="00292E40" w:rsidRPr="00056EFE" w14:paraId="25F474A8" w14:textId="77777777" w:rsidTr="003C69AB">
        <w:trPr>
          <w:jc w:val="center"/>
        </w:trPr>
        <w:tc>
          <w:tcPr>
            <w:tcW w:w="2245" w:type="dxa"/>
          </w:tcPr>
          <w:p w14:paraId="00E6A4F4" w14:textId="2B08FB3D" w:rsidR="00292E40" w:rsidRPr="00056EFE" w:rsidRDefault="00292E40" w:rsidP="003C69AB">
            <w:r w:rsidRPr="00056EFE">
              <w:t xml:space="preserve">Author:  </w:t>
            </w:r>
          </w:p>
        </w:tc>
        <w:tc>
          <w:tcPr>
            <w:tcW w:w="6611" w:type="dxa"/>
          </w:tcPr>
          <w:p w14:paraId="2B52E3A8" w14:textId="4DFD8970" w:rsidR="00292E40" w:rsidRPr="00056EFE" w:rsidRDefault="003C69AB" w:rsidP="00BD72A3">
            <w:r w:rsidRPr="00056EFE">
              <w:t>David Meekins</w:t>
            </w:r>
          </w:p>
        </w:tc>
      </w:tr>
      <w:tr w:rsidR="00292E40" w:rsidRPr="00056EFE" w14:paraId="52A4DE3B" w14:textId="77777777" w:rsidTr="003C69AB">
        <w:trPr>
          <w:jc w:val="center"/>
        </w:trPr>
        <w:tc>
          <w:tcPr>
            <w:tcW w:w="2245" w:type="dxa"/>
          </w:tcPr>
          <w:p w14:paraId="2E2C2118" w14:textId="61ACEB53" w:rsidR="00292E40" w:rsidRPr="00056EFE" w:rsidRDefault="00292E40" w:rsidP="00BD72A3">
            <w:r w:rsidRPr="00056EFE">
              <w:t>Check:</w:t>
            </w:r>
            <w:r w:rsidR="003C69AB" w:rsidRPr="00056EFE">
              <w:t xml:space="preserve"> </w:t>
            </w:r>
          </w:p>
        </w:tc>
        <w:tc>
          <w:tcPr>
            <w:tcW w:w="6611" w:type="dxa"/>
          </w:tcPr>
          <w:p w14:paraId="6DFE5F8F" w14:textId="7B4EE7E5" w:rsidR="00292E40" w:rsidRPr="00056EFE" w:rsidRDefault="00804B21" w:rsidP="00BD72A3">
            <w:r w:rsidRPr="00056EFE">
              <w:t>David Meekins</w:t>
            </w:r>
          </w:p>
        </w:tc>
      </w:tr>
      <w:tr w:rsidR="00292E40" w:rsidRPr="00056EFE" w14:paraId="0B95ED01" w14:textId="77777777" w:rsidTr="003C69AB">
        <w:trPr>
          <w:jc w:val="center"/>
        </w:trPr>
        <w:tc>
          <w:tcPr>
            <w:tcW w:w="2245" w:type="dxa"/>
          </w:tcPr>
          <w:p w14:paraId="19EE679C" w14:textId="5B887394" w:rsidR="00292E40" w:rsidRPr="00056EFE" w:rsidRDefault="003C69AB" w:rsidP="00BD72A3">
            <w:r w:rsidRPr="00056EFE">
              <w:t>Approved:</w:t>
            </w:r>
          </w:p>
        </w:tc>
        <w:tc>
          <w:tcPr>
            <w:tcW w:w="6611" w:type="dxa"/>
          </w:tcPr>
          <w:p w14:paraId="6A098DE8" w14:textId="4EDCB00D" w:rsidR="00292E40" w:rsidRPr="00056EFE" w:rsidRDefault="00804B21" w:rsidP="00BD72A3">
            <w:r w:rsidRPr="00056EFE">
              <w:t>David Meekins</w:t>
            </w:r>
          </w:p>
        </w:tc>
      </w:tr>
    </w:tbl>
    <w:p w14:paraId="11B1EC2C" w14:textId="77777777" w:rsidR="00292E40" w:rsidRPr="00056EFE" w:rsidRDefault="00292E40" w:rsidP="00292E40"/>
    <w:p w14:paraId="3C21C43F" w14:textId="62D5A256" w:rsidR="00A66054" w:rsidRPr="00056EFE" w:rsidRDefault="00292E40" w:rsidP="0022753F">
      <w:pPr>
        <w:spacing w:after="200" w:line="276" w:lineRule="auto"/>
      </w:pPr>
      <w:r w:rsidRPr="00056EFE">
        <w:t>Description:</w:t>
      </w:r>
      <w:r w:rsidR="00BD72A3" w:rsidRPr="00056EFE">
        <w:t xml:space="preserve">  </w:t>
      </w:r>
      <w:r w:rsidR="00EB2A62">
        <w:t xml:space="preserve">Configuration </w:t>
      </w:r>
      <w:r w:rsidR="00CF07C5">
        <w:t>report for the Hall C</w:t>
      </w:r>
      <w:r w:rsidR="00EB2A62">
        <w:t xml:space="preserve"> Target ladder</w:t>
      </w:r>
      <w:r w:rsidR="0080240C">
        <w:t xml:space="preserve"> installed for the </w:t>
      </w:r>
      <w:r w:rsidR="0072581D">
        <w:t>June 2022</w:t>
      </w:r>
      <w:r w:rsidR="0080240C">
        <w:t xml:space="preserve"> run period</w:t>
      </w:r>
      <w:r w:rsidR="00770619">
        <w:t xml:space="preserve">. </w:t>
      </w:r>
      <w:r w:rsidR="00EB2A62">
        <w:t xml:space="preserve">This document gives BDS positions, target thicknesses, cell thicknesses </w:t>
      </w:r>
      <w:r w:rsidR="00D47E59">
        <w:t xml:space="preserve">and overall assembly data. </w:t>
      </w:r>
      <w:r w:rsidR="005912EE">
        <w:t>The target configuration can be found in JLAB Drawing TGT-30</w:t>
      </w:r>
      <w:r w:rsidR="00770619">
        <w:t>1</w:t>
      </w:r>
      <w:r w:rsidR="00B601F0">
        <w:t>1-1001-0201</w:t>
      </w:r>
      <w:r w:rsidR="00D47E59">
        <w:t xml:space="preserve"> which can be found in the JLAB document repository.</w:t>
      </w:r>
      <w:r w:rsidR="0072581D">
        <w:t xml:space="preserve"> This report is equivalent to TGT-</w:t>
      </w:r>
      <w:r w:rsidR="00A61070">
        <w:t xml:space="preserve">RPT-22-003 </w:t>
      </w:r>
      <w:proofErr w:type="gramStart"/>
      <w:r w:rsidR="00A61070">
        <w:t>with the exception of</w:t>
      </w:r>
      <w:proofErr w:type="gramEnd"/>
      <w:r w:rsidR="00A61070">
        <w:t xml:space="preserve"> the solid targets installed.</w:t>
      </w:r>
    </w:p>
    <w:p w14:paraId="44C35AA7" w14:textId="6C0F5D47" w:rsidR="005564E5" w:rsidRDefault="00563775" w:rsidP="00326E1E">
      <w:pPr>
        <w:pStyle w:val="Heading1"/>
      </w:pPr>
      <w:r>
        <w:lastRenderedPageBreak/>
        <w:t xml:space="preserve"> </w:t>
      </w:r>
      <w:bookmarkStart w:id="1" w:name="_Toc494650533"/>
      <w:bookmarkStart w:id="2" w:name="_Toc495059035"/>
      <w:r w:rsidR="005564E5">
        <w:t>Revision History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12"/>
        <w:gridCol w:w="6385"/>
      </w:tblGrid>
      <w:tr w:rsidR="005564E5" w14:paraId="7C000104" w14:textId="77777777" w:rsidTr="0090399C">
        <w:tc>
          <w:tcPr>
            <w:tcW w:w="1653" w:type="dxa"/>
          </w:tcPr>
          <w:p w14:paraId="1E60F91F" w14:textId="77777777" w:rsidR="005564E5" w:rsidRDefault="005564E5" w:rsidP="0090399C">
            <w:r>
              <w:t>Revision: 0</w:t>
            </w:r>
          </w:p>
        </w:tc>
        <w:sdt>
          <w:sdtPr>
            <w:id w:val="582110563"/>
            <w:placeholder>
              <w:docPart w:val="6B99D59CB1324147953772D26A762C41"/>
            </w:placeholder>
            <w:date w:fullDate="2022-06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</w:tcPr>
              <w:p w14:paraId="0941CC8B" w14:textId="7990C6F9" w:rsidR="005564E5" w:rsidRDefault="00A61070" w:rsidP="0090399C">
                <w:r>
                  <w:t>6/6/2022</w:t>
                </w:r>
              </w:p>
            </w:tc>
          </w:sdtContent>
        </w:sdt>
        <w:tc>
          <w:tcPr>
            <w:tcW w:w="6385" w:type="dxa"/>
          </w:tcPr>
          <w:p w14:paraId="3C509F67" w14:textId="77777777" w:rsidR="005564E5" w:rsidRDefault="005564E5" w:rsidP="0090399C">
            <w:r>
              <w:t>Original</w:t>
            </w:r>
          </w:p>
        </w:tc>
      </w:tr>
    </w:tbl>
    <w:p w14:paraId="342ACE91" w14:textId="3AACB4F1" w:rsidR="005564E5" w:rsidRPr="005564E5" w:rsidRDefault="005564E5" w:rsidP="005564E5"/>
    <w:p w14:paraId="14DB511D" w14:textId="3815675B" w:rsidR="00051189" w:rsidRDefault="00A66054" w:rsidP="00051189">
      <w:pPr>
        <w:pStyle w:val="Heading1"/>
      </w:pPr>
      <w:r w:rsidRPr="00056EFE">
        <w:lastRenderedPageBreak/>
        <w:t xml:space="preserve">Purpose and </w:t>
      </w:r>
      <w:r w:rsidR="00051189" w:rsidRPr="00056EFE">
        <w:t>Scope</w:t>
      </w:r>
    </w:p>
    <w:p w14:paraId="779E777F" w14:textId="50EBE54F" w:rsidR="0083717E" w:rsidRDefault="00654E26" w:rsidP="0083717E">
      <w:r>
        <w:t xml:space="preserve">This report documents the </w:t>
      </w:r>
      <w:r w:rsidR="0080240C">
        <w:t>configuration for the Hall C</w:t>
      </w:r>
      <w:r w:rsidR="0083717E">
        <w:t xml:space="preserve"> Target as installed for </w:t>
      </w:r>
      <w:r w:rsidR="00A61070">
        <w:t>June 2022 to August 2022</w:t>
      </w:r>
      <w:r w:rsidR="0083717E">
        <w:t xml:space="preserve"> run period</w:t>
      </w:r>
      <w:r w:rsidR="00AF6985">
        <w:t>.</w:t>
      </w:r>
      <w:r w:rsidR="002D1B21">
        <w:t xml:space="preserve"> Target thicknesses and uncertainties are included.</w:t>
      </w:r>
    </w:p>
    <w:p w14:paraId="0E80580B" w14:textId="70166326" w:rsidR="0083717E" w:rsidRDefault="0083717E" w:rsidP="0083717E">
      <w:pPr>
        <w:pStyle w:val="Heading1"/>
      </w:pPr>
      <w:r>
        <w:lastRenderedPageBreak/>
        <w:t>Target list and lifter positions</w:t>
      </w:r>
    </w:p>
    <w:p w14:paraId="25E69933" w14:textId="5BF96B46" w:rsidR="00B20E96" w:rsidRPr="00B20E96" w:rsidRDefault="00B20E96" w:rsidP="00B20E96">
      <w:r>
        <w:t>The following lifter positions were determined by alignment of the system.</w:t>
      </w:r>
    </w:p>
    <w:tbl>
      <w:tblPr>
        <w:tblStyle w:val="GridTable1Light1"/>
        <w:tblW w:w="7020" w:type="dxa"/>
        <w:jc w:val="center"/>
        <w:tblLayout w:type="fixed"/>
        <w:tblLook w:val="0620" w:firstRow="1" w:lastRow="0" w:firstColumn="0" w:lastColumn="0" w:noHBand="1" w:noVBand="1"/>
      </w:tblPr>
      <w:tblGrid>
        <w:gridCol w:w="2520"/>
        <w:gridCol w:w="1790"/>
        <w:gridCol w:w="2710"/>
      </w:tblGrid>
      <w:tr w:rsidR="0026316A" w14:paraId="142F008C" w14:textId="77777777" w:rsidTr="00C0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20" w:type="dxa"/>
          </w:tcPr>
          <w:p w14:paraId="352CB3C1" w14:textId="77777777" w:rsidR="0026316A" w:rsidRDefault="0026316A" w:rsidP="0026316A">
            <w:pPr>
              <w:jc w:val="center"/>
            </w:pPr>
            <w:r>
              <w:rPr>
                <w:sz w:val="20"/>
                <w:szCs w:val="20"/>
              </w:rPr>
              <w:t>Target name</w:t>
            </w:r>
          </w:p>
        </w:tc>
        <w:tc>
          <w:tcPr>
            <w:tcW w:w="1790" w:type="dxa"/>
          </w:tcPr>
          <w:p w14:paraId="0EF8C769" w14:textId="77777777" w:rsidR="0026316A" w:rsidRDefault="0026316A" w:rsidP="0026316A">
            <w:pPr>
              <w:jc w:val="center"/>
            </w:pPr>
            <w:r>
              <w:rPr>
                <w:sz w:val="20"/>
                <w:szCs w:val="20"/>
              </w:rPr>
              <w:t xml:space="preserve">Lifter position </w:t>
            </w:r>
          </w:p>
        </w:tc>
        <w:tc>
          <w:tcPr>
            <w:tcW w:w="2710" w:type="dxa"/>
          </w:tcPr>
          <w:p w14:paraId="7906C7E1" w14:textId="77777777" w:rsidR="0026316A" w:rsidRDefault="0026316A" w:rsidP="0026316A">
            <w:pPr>
              <w:jc w:val="center"/>
            </w:pPr>
            <w:r>
              <w:rPr>
                <w:sz w:val="20"/>
                <w:szCs w:val="20"/>
              </w:rPr>
              <w:t>Target Material</w:t>
            </w:r>
          </w:p>
        </w:tc>
      </w:tr>
      <w:tr w:rsidR="004D3C3A" w14:paraId="32D717A2" w14:textId="77777777" w:rsidTr="00C02998">
        <w:trPr>
          <w:jc w:val="center"/>
        </w:trPr>
        <w:tc>
          <w:tcPr>
            <w:tcW w:w="2520" w:type="dxa"/>
            <w:vAlign w:val="center"/>
          </w:tcPr>
          <w:p w14:paraId="3DB13B7C" w14:textId="3769AC68" w:rsidR="004D3C3A" w:rsidRDefault="004D3C3A" w:rsidP="00426AF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Loop 1 10 cm</w:t>
            </w:r>
          </w:p>
        </w:tc>
        <w:tc>
          <w:tcPr>
            <w:tcW w:w="1790" w:type="dxa"/>
            <w:vAlign w:val="center"/>
          </w:tcPr>
          <w:p w14:paraId="5343D80A" w14:textId="0357CD6F" w:rsidR="004D3C3A" w:rsidRDefault="004D3C3A" w:rsidP="00426AF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31,444,060.00</w:t>
            </w:r>
          </w:p>
        </w:tc>
        <w:tc>
          <w:tcPr>
            <w:tcW w:w="2710" w:type="dxa"/>
            <w:vAlign w:val="center"/>
          </w:tcPr>
          <w:p w14:paraId="6CC3E939" w14:textId="77777777" w:rsidR="004D3C3A" w:rsidRPr="00977BFE" w:rsidRDefault="004D3C3A" w:rsidP="00426AF4">
            <w:pPr>
              <w:jc w:val="center"/>
            </w:pPr>
            <w:r w:rsidRPr="00977BFE">
              <w:t>10 cm Loop 1</w:t>
            </w:r>
          </w:p>
        </w:tc>
      </w:tr>
      <w:tr w:rsidR="004D3C3A" w14:paraId="1FA4F309" w14:textId="77777777" w:rsidTr="00C02998">
        <w:trPr>
          <w:jc w:val="center"/>
        </w:trPr>
        <w:tc>
          <w:tcPr>
            <w:tcW w:w="2520" w:type="dxa"/>
            <w:vAlign w:val="center"/>
          </w:tcPr>
          <w:p w14:paraId="00B2794C" w14:textId="66D970C0" w:rsidR="004D3C3A" w:rsidRDefault="004D3C3A" w:rsidP="00426AF4">
            <w:pPr>
              <w:jc w:val="center"/>
            </w:pPr>
            <w:r>
              <w:rPr>
                <w:rFonts w:ascii="Calibri" w:hAnsi="Calibri" w:cs="Calibri"/>
              </w:rPr>
              <w:t>Loop 2 10 cm</w:t>
            </w:r>
          </w:p>
        </w:tc>
        <w:tc>
          <w:tcPr>
            <w:tcW w:w="1790" w:type="dxa"/>
            <w:vAlign w:val="center"/>
          </w:tcPr>
          <w:p w14:paraId="59E40B1C" w14:textId="34F99D4D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23,813,468.00</w:t>
            </w:r>
          </w:p>
        </w:tc>
        <w:tc>
          <w:tcPr>
            <w:tcW w:w="2710" w:type="dxa"/>
            <w:vAlign w:val="center"/>
          </w:tcPr>
          <w:p w14:paraId="1C8B1B59" w14:textId="77777777" w:rsidR="004D3C3A" w:rsidRDefault="004D3C3A" w:rsidP="00426AF4">
            <w:pPr>
              <w:jc w:val="center"/>
            </w:pPr>
            <w:r>
              <w:t>10 cm Loop 2</w:t>
            </w:r>
          </w:p>
        </w:tc>
      </w:tr>
      <w:tr w:rsidR="004D3C3A" w14:paraId="426B0BFE" w14:textId="77777777" w:rsidTr="00C02998">
        <w:trPr>
          <w:jc w:val="center"/>
        </w:trPr>
        <w:tc>
          <w:tcPr>
            <w:tcW w:w="2520" w:type="dxa"/>
            <w:vAlign w:val="center"/>
          </w:tcPr>
          <w:p w14:paraId="160C619C" w14:textId="67145E6C" w:rsidR="004D3C3A" w:rsidRDefault="004D3C3A" w:rsidP="00426AF4">
            <w:pPr>
              <w:jc w:val="center"/>
            </w:pPr>
            <w:r>
              <w:rPr>
                <w:rFonts w:ascii="Calibri" w:hAnsi="Calibri" w:cs="Calibri"/>
              </w:rPr>
              <w:t>Loop 3 10 cm</w:t>
            </w:r>
          </w:p>
        </w:tc>
        <w:tc>
          <w:tcPr>
            <w:tcW w:w="1790" w:type="dxa"/>
            <w:vAlign w:val="center"/>
          </w:tcPr>
          <w:p w14:paraId="74096021" w14:textId="6394212D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16,163,420.00</w:t>
            </w:r>
          </w:p>
        </w:tc>
        <w:tc>
          <w:tcPr>
            <w:tcW w:w="2710" w:type="dxa"/>
            <w:vAlign w:val="center"/>
          </w:tcPr>
          <w:p w14:paraId="26B9D69D" w14:textId="77777777" w:rsidR="004D3C3A" w:rsidRDefault="004D3C3A" w:rsidP="00426AF4">
            <w:pPr>
              <w:jc w:val="center"/>
            </w:pPr>
            <w:r>
              <w:rPr>
                <w:sz w:val="20"/>
                <w:szCs w:val="20"/>
              </w:rPr>
              <w:t>10 cm Loop 3</w:t>
            </w:r>
          </w:p>
        </w:tc>
      </w:tr>
      <w:tr w:rsidR="004D3C3A" w14:paraId="75E3FA3E" w14:textId="77777777" w:rsidTr="00C02998">
        <w:trPr>
          <w:jc w:val="center"/>
        </w:trPr>
        <w:tc>
          <w:tcPr>
            <w:tcW w:w="2520" w:type="dxa"/>
            <w:vAlign w:val="center"/>
          </w:tcPr>
          <w:p w14:paraId="1CCA2DF6" w14:textId="77777777" w:rsidR="004D3C3A" w:rsidRDefault="004D3C3A" w:rsidP="00426AF4">
            <w:pPr>
              <w:jc w:val="center"/>
            </w:pPr>
            <w:r>
              <w:rPr>
                <w:rFonts w:ascii="Calibri" w:hAnsi="Calibri" w:cs="Calibri"/>
              </w:rPr>
              <w:t>10 cm dummy</w:t>
            </w:r>
          </w:p>
        </w:tc>
        <w:tc>
          <w:tcPr>
            <w:tcW w:w="1790" w:type="dxa"/>
            <w:vAlign w:val="center"/>
          </w:tcPr>
          <w:p w14:paraId="1351E533" w14:textId="09274DAB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11,399,761.76</w:t>
            </w:r>
          </w:p>
        </w:tc>
        <w:tc>
          <w:tcPr>
            <w:tcW w:w="2710" w:type="dxa"/>
            <w:vAlign w:val="center"/>
          </w:tcPr>
          <w:p w14:paraId="47D29D29" w14:textId="77777777" w:rsidR="004D3C3A" w:rsidRDefault="004D3C3A" w:rsidP="00426AF4">
            <w:pPr>
              <w:jc w:val="center"/>
            </w:pPr>
            <w:r>
              <w:rPr>
                <w:sz w:val="20"/>
                <w:szCs w:val="20"/>
              </w:rPr>
              <w:t>Aluminum 7075</w:t>
            </w:r>
          </w:p>
        </w:tc>
      </w:tr>
      <w:tr w:rsidR="004D3C3A" w14:paraId="422E2E5C" w14:textId="77777777" w:rsidTr="00C02998">
        <w:trPr>
          <w:jc w:val="center"/>
        </w:trPr>
        <w:tc>
          <w:tcPr>
            <w:tcW w:w="2520" w:type="dxa"/>
            <w:vAlign w:val="center"/>
          </w:tcPr>
          <w:p w14:paraId="139EC34D" w14:textId="73BB4A66" w:rsidR="004D3C3A" w:rsidRDefault="004D3C3A" w:rsidP="00426AF4">
            <w:pPr>
              <w:jc w:val="center"/>
            </w:pPr>
            <w:r>
              <w:rPr>
                <w:rFonts w:ascii="Calibri" w:hAnsi="Calibri" w:cs="Calibri"/>
              </w:rPr>
              <w:t>Optics #1 +/-8 cm</w:t>
            </w:r>
          </w:p>
        </w:tc>
        <w:tc>
          <w:tcPr>
            <w:tcW w:w="1790" w:type="dxa"/>
            <w:vAlign w:val="center"/>
          </w:tcPr>
          <w:p w14:paraId="4CB71C8A" w14:textId="4DBA8AE7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10,099,281.76</w:t>
            </w:r>
          </w:p>
        </w:tc>
        <w:tc>
          <w:tcPr>
            <w:tcW w:w="2710" w:type="dxa"/>
            <w:vAlign w:val="center"/>
          </w:tcPr>
          <w:p w14:paraId="27CEC37C" w14:textId="77777777" w:rsidR="004D3C3A" w:rsidRDefault="004D3C3A" w:rsidP="00426AF4">
            <w:pPr>
              <w:jc w:val="center"/>
            </w:pPr>
            <w:r>
              <w:rPr>
                <w:sz w:val="20"/>
                <w:szCs w:val="20"/>
              </w:rPr>
              <w:t>Carbon</w:t>
            </w:r>
          </w:p>
        </w:tc>
      </w:tr>
      <w:tr w:rsidR="004D3C3A" w14:paraId="1AD193A0" w14:textId="77777777" w:rsidTr="00C02998">
        <w:trPr>
          <w:jc w:val="center"/>
        </w:trPr>
        <w:tc>
          <w:tcPr>
            <w:tcW w:w="2520" w:type="dxa"/>
            <w:vAlign w:val="center"/>
          </w:tcPr>
          <w:p w14:paraId="00B54FC0" w14:textId="63017DD7" w:rsidR="004D3C3A" w:rsidRDefault="004D3C3A" w:rsidP="00426AF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Optics #2 +/-3 cm</w:t>
            </w:r>
          </w:p>
        </w:tc>
        <w:tc>
          <w:tcPr>
            <w:tcW w:w="1790" w:type="dxa"/>
            <w:vAlign w:val="center"/>
          </w:tcPr>
          <w:p w14:paraId="46C12170" w14:textId="3C565A0E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9,384,017.76</w:t>
            </w:r>
          </w:p>
        </w:tc>
        <w:tc>
          <w:tcPr>
            <w:tcW w:w="2710" w:type="dxa"/>
            <w:vAlign w:val="center"/>
          </w:tcPr>
          <w:p w14:paraId="7A2C915D" w14:textId="77777777" w:rsidR="004D3C3A" w:rsidRDefault="004D3C3A" w:rsidP="004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</w:t>
            </w:r>
          </w:p>
        </w:tc>
      </w:tr>
      <w:tr w:rsidR="004D3C3A" w14:paraId="7BD47B45" w14:textId="77777777" w:rsidTr="00C02998">
        <w:trPr>
          <w:jc w:val="center"/>
        </w:trPr>
        <w:tc>
          <w:tcPr>
            <w:tcW w:w="2520" w:type="dxa"/>
            <w:vAlign w:val="center"/>
          </w:tcPr>
          <w:p w14:paraId="751917E5" w14:textId="75D57858" w:rsidR="004D3C3A" w:rsidRDefault="004D3C3A" w:rsidP="00426A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BeO</w:t>
            </w:r>
            <w:proofErr w:type="spellEnd"/>
          </w:p>
        </w:tc>
        <w:tc>
          <w:tcPr>
            <w:tcW w:w="1790" w:type="dxa"/>
            <w:vAlign w:val="center"/>
          </w:tcPr>
          <w:p w14:paraId="5EB6A3ED" w14:textId="6C4A9AF8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8,095,313.76</w:t>
            </w:r>
          </w:p>
        </w:tc>
        <w:tc>
          <w:tcPr>
            <w:tcW w:w="2710" w:type="dxa"/>
            <w:vAlign w:val="center"/>
          </w:tcPr>
          <w:p w14:paraId="1FBB9F21" w14:textId="53BEB2E0" w:rsidR="004D3C3A" w:rsidRDefault="004D3C3A" w:rsidP="00426A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BeO</w:t>
            </w:r>
            <w:proofErr w:type="spellEnd"/>
          </w:p>
        </w:tc>
      </w:tr>
      <w:tr w:rsidR="004D3C3A" w14:paraId="0F1F0C5D" w14:textId="77777777" w:rsidTr="00C02998">
        <w:trPr>
          <w:jc w:val="center"/>
        </w:trPr>
        <w:tc>
          <w:tcPr>
            <w:tcW w:w="2520" w:type="dxa"/>
            <w:vAlign w:val="center"/>
          </w:tcPr>
          <w:p w14:paraId="2189EE72" w14:textId="7029063F" w:rsidR="004D3C3A" w:rsidRDefault="004D3C3A" w:rsidP="00426AF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Carbon Hole</w:t>
            </w:r>
          </w:p>
        </w:tc>
        <w:tc>
          <w:tcPr>
            <w:tcW w:w="1790" w:type="dxa"/>
            <w:vAlign w:val="center"/>
          </w:tcPr>
          <w:p w14:paraId="438D3FF0" w14:textId="6AA7F142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7,380,049.76</w:t>
            </w:r>
          </w:p>
        </w:tc>
        <w:tc>
          <w:tcPr>
            <w:tcW w:w="2710" w:type="dxa"/>
            <w:vAlign w:val="center"/>
          </w:tcPr>
          <w:p w14:paraId="1CDAC0B1" w14:textId="77777777" w:rsidR="004D3C3A" w:rsidRDefault="004D3C3A" w:rsidP="004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</w:t>
            </w:r>
          </w:p>
        </w:tc>
      </w:tr>
      <w:tr w:rsidR="004D3C3A" w14:paraId="2D3679AB" w14:textId="77777777" w:rsidTr="00C02998">
        <w:trPr>
          <w:jc w:val="center"/>
        </w:trPr>
        <w:tc>
          <w:tcPr>
            <w:tcW w:w="2520" w:type="dxa"/>
            <w:vAlign w:val="center"/>
          </w:tcPr>
          <w:p w14:paraId="72E3D601" w14:textId="7C628189" w:rsidR="004D3C3A" w:rsidRDefault="004D3C3A" w:rsidP="004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0.5%</w:t>
            </w:r>
          </w:p>
        </w:tc>
        <w:tc>
          <w:tcPr>
            <w:tcW w:w="1790" w:type="dxa"/>
            <w:vAlign w:val="center"/>
          </w:tcPr>
          <w:p w14:paraId="2995D428" w14:textId="611CEDDB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6,664,785.76</w:t>
            </w:r>
          </w:p>
        </w:tc>
        <w:tc>
          <w:tcPr>
            <w:tcW w:w="2710" w:type="dxa"/>
            <w:vAlign w:val="center"/>
          </w:tcPr>
          <w:p w14:paraId="73F8DCAB" w14:textId="018F3AED" w:rsidR="004D3C3A" w:rsidRDefault="004D3C3A" w:rsidP="004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</w:t>
            </w:r>
          </w:p>
        </w:tc>
      </w:tr>
      <w:tr w:rsidR="004D3C3A" w14:paraId="1F4DEEAD" w14:textId="77777777" w:rsidTr="00C02998">
        <w:trPr>
          <w:jc w:val="center"/>
        </w:trPr>
        <w:tc>
          <w:tcPr>
            <w:tcW w:w="2520" w:type="dxa"/>
            <w:vAlign w:val="center"/>
          </w:tcPr>
          <w:p w14:paraId="3529F8E5" w14:textId="6D6D09B3" w:rsidR="00A61070" w:rsidRDefault="00A61070" w:rsidP="00A6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</w:t>
            </w:r>
          </w:p>
        </w:tc>
        <w:tc>
          <w:tcPr>
            <w:tcW w:w="1790" w:type="dxa"/>
            <w:vAlign w:val="center"/>
          </w:tcPr>
          <w:p w14:paraId="263E2A02" w14:textId="33BB0113" w:rsidR="004D3C3A" w:rsidRDefault="004D3C3A" w:rsidP="00426A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5,949,521.76</w:t>
            </w:r>
          </w:p>
        </w:tc>
        <w:tc>
          <w:tcPr>
            <w:tcW w:w="2710" w:type="dxa"/>
            <w:vAlign w:val="center"/>
          </w:tcPr>
          <w:p w14:paraId="39DE46C6" w14:textId="7AECA0D3" w:rsidR="004D3C3A" w:rsidRDefault="00A61070" w:rsidP="004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070" w14:paraId="1C736071" w14:textId="77777777" w:rsidTr="000C05EC">
        <w:trPr>
          <w:jc w:val="center"/>
        </w:trPr>
        <w:tc>
          <w:tcPr>
            <w:tcW w:w="2520" w:type="dxa"/>
          </w:tcPr>
          <w:p w14:paraId="0BCA2709" w14:textId="26AB49D1" w:rsidR="00A61070" w:rsidRDefault="00A61070" w:rsidP="00A61070">
            <w:pPr>
              <w:jc w:val="center"/>
              <w:rPr>
                <w:sz w:val="20"/>
                <w:szCs w:val="20"/>
              </w:rPr>
            </w:pPr>
            <w:r w:rsidRPr="006B7A9F">
              <w:rPr>
                <w:sz w:val="20"/>
                <w:szCs w:val="20"/>
              </w:rPr>
              <w:t>Empty</w:t>
            </w:r>
          </w:p>
        </w:tc>
        <w:tc>
          <w:tcPr>
            <w:tcW w:w="1790" w:type="dxa"/>
            <w:vAlign w:val="center"/>
          </w:tcPr>
          <w:p w14:paraId="654842FC" w14:textId="313E592C" w:rsidR="00A61070" w:rsidRDefault="00A61070" w:rsidP="00A610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5,234,257.76</w:t>
            </w:r>
          </w:p>
        </w:tc>
        <w:tc>
          <w:tcPr>
            <w:tcW w:w="2710" w:type="dxa"/>
          </w:tcPr>
          <w:p w14:paraId="203E98A9" w14:textId="57F27C30" w:rsidR="00A61070" w:rsidRDefault="00A61070" w:rsidP="00A61070">
            <w:pPr>
              <w:jc w:val="center"/>
              <w:rPr>
                <w:sz w:val="20"/>
                <w:szCs w:val="20"/>
              </w:rPr>
            </w:pPr>
            <w:r w:rsidRPr="00C877E3">
              <w:rPr>
                <w:sz w:val="20"/>
                <w:szCs w:val="20"/>
              </w:rPr>
              <w:t>N/A</w:t>
            </w:r>
          </w:p>
        </w:tc>
      </w:tr>
      <w:tr w:rsidR="00A61070" w14:paraId="058F4112" w14:textId="77777777" w:rsidTr="000C05EC">
        <w:trPr>
          <w:jc w:val="center"/>
        </w:trPr>
        <w:tc>
          <w:tcPr>
            <w:tcW w:w="2520" w:type="dxa"/>
          </w:tcPr>
          <w:p w14:paraId="114788C0" w14:textId="143B913A" w:rsidR="00A61070" w:rsidRDefault="00A61070" w:rsidP="00A61070">
            <w:pPr>
              <w:jc w:val="center"/>
              <w:rPr>
                <w:sz w:val="20"/>
                <w:szCs w:val="20"/>
              </w:rPr>
            </w:pPr>
            <w:r w:rsidRPr="006B7A9F">
              <w:rPr>
                <w:sz w:val="20"/>
                <w:szCs w:val="20"/>
              </w:rPr>
              <w:t>Empty</w:t>
            </w:r>
          </w:p>
        </w:tc>
        <w:tc>
          <w:tcPr>
            <w:tcW w:w="1790" w:type="dxa"/>
            <w:vAlign w:val="center"/>
          </w:tcPr>
          <w:p w14:paraId="0055DBFC" w14:textId="683BF168" w:rsidR="00A61070" w:rsidRDefault="00A61070" w:rsidP="00A610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4,518,993.76</w:t>
            </w:r>
          </w:p>
        </w:tc>
        <w:tc>
          <w:tcPr>
            <w:tcW w:w="2710" w:type="dxa"/>
          </w:tcPr>
          <w:p w14:paraId="78E508CB" w14:textId="0C932AE9" w:rsidR="00A61070" w:rsidRDefault="00A61070" w:rsidP="00A61070">
            <w:pPr>
              <w:jc w:val="center"/>
              <w:rPr>
                <w:sz w:val="20"/>
                <w:szCs w:val="20"/>
              </w:rPr>
            </w:pPr>
            <w:r w:rsidRPr="00C877E3">
              <w:rPr>
                <w:sz w:val="20"/>
                <w:szCs w:val="20"/>
              </w:rPr>
              <w:t>N/A</w:t>
            </w:r>
          </w:p>
        </w:tc>
      </w:tr>
      <w:tr w:rsidR="00A61070" w14:paraId="0B33133C" w14:textId="77777777" w:rsidTr="000C05EC">
        <w:trPr>
          <w:jc w:val="center"/>
        </w:trPr>
        <w:tc>
          <w:tcPr>
            <w:tcW w:w="2520" w:type="dxa"/>
          </w:tcPr>
          <w:p w14:paraId="63C01200" w14:textId="4C3F0E53" w:rsidR="00A61070" w:rsidRDefault="00A61070" w:rsidP="00A61070">
            <w:pPr>
              <w:jc w:val="center"/>
              <w:rPr>
                <w:sz w:val="20"/>
                <w:szCs w:val="20"/>
              </w:rPr>
            </w:pPr>
            <w:r w:rsidRPr="006B7A9F">
              <w:rPr>
                <w:sz w:val="20"/>
                <w:szCs w:val="20"/>
              </w:rPr>
              <w:t>Empty</w:t>
            </w:r>
          </w:p>
        </w:tc>
        <w:tc>
          <w:tcPr>
            <w:tcW w:w="1790" w:type="dxa"/>
            <w:vAlign w:val="center"/>
          </w:tcPr>
          <w:p w14:paraId="5A7F6842" w14:textId="165A35A2" w:rsidR="00A61070" w:rsidRDefault="00A61070" w:rsidP="00A610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3,803,729.76</w:t>
            </w:r>
          </w:p>
        </w:tc>
        <w:tc>
          <w:tcPr>
            <w:tcW w:w="2710" w:type="dxa"/>
          </w:tcPr>
          <w:p w14:paraId="64CF9925" w14:textId="04E1EE96" w:rsidR="00A61070" w:rsidRDefault="00A61070" w:rsidP="00A61070">
            <w:pPr>
              <w:jc w:val="center"/>
              <w:rPr>
                <w:sz w:val="20"/>
                <w:szCs w:val="20"/>
              </w:rPr>
            </w:pPr>
            <w:r w:rsidRPr="00C877E3">
              <w:rPr>
                <w:sz w:val="20"/>
                <w:szCs w:val="20"/>
              </w:rPr>
              <w:t>N/A</w:t>
            </w:r>
          </w:p>
        </w:tc>
      </w:tr>
      <w:tr w:rsidR="00A61070" w14:paraId="13DDC15C" w14:textId="77777777" w:rsidTr="000C05EC">
        <w:trPr>
          <w:jc w:val="center"/>
        </w:trPr>
        <w:tc>
          <w:tcPr>
            <w:tcW w:w="2520" w:type="dxa"/>
          </w:tcPr>
          <w:p w14:paraId="4175A2C3" w14:textId="2A155F18" w:rsidR="00A61070" w:rsidRDefault="00A61070" w:rsidP="00A61070">
            <w:pPr>
              <w:jc w:val="center"/>
            </w:pPr>
            <w:r w:rsidRPr="006B7A9F">
              <w:rPr>
                <w:sz w:val="20"/>
                <w:szCs w:val="20"/>
              </w:rPr>
              <w:t>Empty</w:t>
            </w:r>
          </w:p>
        </w:tc>
        <w:tc>
          <w:tcPr>
            <w:tcW w:w="1790" w:type="dxa"/>
            <w:vAlign w:val="center"/>
          </w:tcPr>
          <w:p w14:paraId="58F1F4FF" w14:textId="24FABE4D" w:rsidR="00A61070" w:rsidRDefault="00A61070" w:rsidP="00A610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3,088,465.76</w:t>
            </w:r>
          </w:p>
        </w:tc>
        <w:tc>
          <w:tcPr>
            <w:tcW w:w="2710" w:type="dxa"/>
          </w:tcPr>
          <w:p w14:paraId="5550B287" w14:textId="6A8A9DF9" w:rsidR="00A61070" w:rsidRDefault="00A61070" w:rsidP="00A61070">
            <w:pPr>
              <w:jc w:val="center"/>
            </w:pPr>
            <w:r w:rsidRPr="00C877E3">
              <w:rPr>
                <w:sz w:val="20"/>
                <w:szCs w:val="20"/>
              </w:rPr>
              <w:t>N/A</w:t>
            </w:r>
          </w:p>
        </w:tc>
      </w:tr>
      <w:tr w:rsidR="00A61070" w14:paraId="6825D661" w14:textId="77777777" w:rsidTr="000C05EC">
        <w:trPr>
          <w:trHeight w:val="300"/>
          <w:jc w:val="center"/>
        </w:trPr>
        <w:tc>
          <w:tcPr>
            <w:tcW w:w="2520" w:type="dxa"/>
          </w:tcPr>
          <w:p w14:paraId="3D4F9182" w14:textId="10EDE680" w:rsidR="00A61070" w:rsidRDefault="00A61070" w:rsidP="00A61070">
            <w:pPr>
              <w:jc w:val="center"/>
            </w:pPr>
            <w:r w:rsidRPr="006B7A9F">
              <w:rPr>
                <w:sz w:val="20"/>
                <w:szCs w:val="20"/>
              </w:rPr>
              <w:t>Empty</w:t>
            </w:r>
          </w:p>
        </w:tc>
        <w:tc>
          <w:tcPr>
            <w:tcW w:w="1790" w:type="dxa"/>
            <w:vAlign w:val="center"/>
          </w:tcPr>
          <w:p w14:paraId="308DECB6" w14:textId="7A46C916" w:rsidR="00A61070" w:rsidRDefault="00A61070" w:rsidP="00A610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2,373,201.76</w:t>
            </w:r>
          </w:p>
        </w:tc>
        <w:tc>
          <w:tcPr>
            <w:tcW w:w="2710" w:type="dxa"/>
          </w:tcPr>
          <w:p w14:paraId="4FBEDCB4" w14:textId="62DB3D1C" w:rsidR="00A61070" w:rsidRDefault="00A61070" w:rsidP="00A61070">
            <w:pPr>
              <w:jc w:val="center"/>
            </w:pPr>
            <w:r w:rsidRPr="00C877E3">
              <w:rPr>
                <w:sz w:val="20"/>
                <w:szCs w:val="20"/>
              </w:rPr>
              <w:t>N/A</w:t>
            </w:r>
          </w:p>
        </w:tc>
      </w:tr>
      <w:tr w:rsidR="00A61070" w14:paraId="641A1FE2" w14:textId="77777777" w:rsidTr="000C05EC">
        <w:trPr>
          <w:jc w:val="center"/>
        </w:trPr>
        <w:tc>
          <w:tcPr>
            <w:tcW w:w="2520" w:type="dxa"/>
          </w:tcPr>
          <w:p w14:paraId="0E9E4426" w14:textId="11B07A9E" w:rsidR="00A61070" w:rsidRDefault="00A61070" w:rsidP="00A61070">
            <w:pPr>
              <w:jc w:val="center"/>
            </w:pPr>
            <w:r w:rsidRPr="006B7A9F">
              <w:rPr>
                <w:sz w:val="20"/>
                <w:szCs w:val="20"/>
              </w:rPr>
              <w:t>Empty</w:t>
            </w:r>
          </w:p>
        </w:tc>
        <w:tc>
          <w:tcPr>
            <w:tcW w:w="1790" w:type="dxa"/>
            <w:vAlign w:val="center"/>
          </w:tcPr>
          <w:p w14:paraId="68A91169" w14:textId="146C31EB" w:rsidR="00A61070" w:rsidRDefault="00A61070" w:rsidP="00A610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1,657,937.76</w:t>
            </w:r>
          </w:p>
        </w:tc>
        <w:tc>
          <w:tcPr>
            <w:tcW w:w="2710" w:type="dxa"/>
          </w:tcPr>
          <w:p w14:paraId="390DDE68" w14:textId="0FC44B58" w:rsidR="00A61070" w:rsidRDefault="00A61070" w:rsidP="00A61070">
            <w:pPr>
              <w:jc w:val="center"/>
            </w:pPr>
            <w:r w:rsidRPr="00C877E3">
              <w:rPr>
                <w:sz w:val="20"/>
                <w:szCs w:val="20"/>
              </w:rPr>
              <w:t>N/A</w:t>
            </w:r>
          </w:p>
        </w:tc>
      </w:tr>
      <w:tr w:rsidR="00977BFE" w14:paraId="7DC67A0F" w14:textId="77777777" w:rsidTr="00C02998">
        <w:trPr>
          <w:jc w:val="center"/>
        </w:trPr>
        <w:tc>
          <w:tcPr>
            <w:tcW w:w="2520" w:type="dxa"/>
          </w:tcPr>
          <w:p w14:paraId="1ADB8CDE" w14:textId="61873841" w:rsidR="00977BFE" w:rsidRDefault="00977BFE" w:rsidP="00977B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</w:t>
            </w:r>
          </w:p>
        </w:tc>
        <w:tc>
          <w:tcPr>
            <w:tcW w:w="1790" w:type="dxa"/>
          </w:tcPr>
          <w:p w14:paraId="73B7D83E" w14:textId="1B860376" w:rsidR="00977BFE" w:rsidRDefault="00977BFE" w:rsidP="00977B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10" w:type="dxa"/>
          </w:tcPr>
          <w:p w14:paraId="6EEFBA2E" w14:textId="7F3F8447" w:rsidR="00977BFE" w:rsidRDefault="00977BFE" w:rsidP="0097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0DED150A" w14:textId="77777777" w:rsidR="002D1B21" w:rsidRDefault="002D1B21" w:rsidP="0083717E"/>
    <w:p w14:paraId="7587D577" w14:textId="77777777" w:rsidR="002568AF" w:rsidRDefault="002568AF" w:rsidP="002568AF"/>
    <w:p w14:paraId="2E7B22C6" w14:textId="7304C938" w:rsidR="0083717E" w:rsidRDefault="0083717E" w:rsidP="002568AF">
      <w:bookmarkStart w:id="3" w:name="_3xcrtvsuxeu" w:colFirst="0" w:colLast="0"/>
      <w:bookmarkEnd w:id="3"/>
    </w:p>
    <w:p w14:paraId="0509C941" w14:textId="33850961" w:rsidR="002568AF" w:rsidRDefault="002568AF" w:rsidP="002568AF"/>
    <w:p w14:paraId="11C59726" w14:textId="757E28F5" w:rsidR="002568AF" w:rsidRDefault="002568AF">
      <w:r>
        <w:br w:type="page"/>
      </w:r>
    </w:p>
    <w:p w14:paraId="7B32B9F2" w14:textId="77777777" w:rsidR="002568AF" w:rsidRDefault="002568AF" w:rsidP="002568AF">
      <w:pPr>
        <w:pStyle w:val="Heading1"/>
      </w:pPr>
      <w:r>
        <w:lastRenderedPageBreak/>
        <w:t>Target Thicknesses</w:t>
      </w:r>
    </w:p>
    <w:p w14:paraId="06D8256A" w14:textId="2CDFB1D6" w:rsidR="00E47481" w:rsidRDefault="00E47481" w:rsidP="0069387C">
      <w:pPr>
        <w:pStyle w:val="Heading2"/>
      </w:pPr>
      <w:bookmarkStart w:id="4" w:name="_rq58so5ak5yc" w:colFirst="0" w:colLast="0"/>
      <w:bookmarkEnd w:id="4"/>
      <w:r>
        <w:t>Cells</w:t>
      </w:r>
    </w:p>
    <w:p w14:paraId="024EB071" w14:textId="5B91E3AC" w:rsidR="002568AF" w:rsidRDefault="002568AF" w:rsidP="00E47481">
      <w:r>
        <w:t>Hydrogen loops</w:t>
      </w:r>
      <w:r w:rsidR="00AF6985">
        <w:t xml:space="preserve"> e</w:t>
      </w:r>
      <w:r>
        <w:t>ntrance and exit window thicknesses are given b</w:t>
      </w:r>
      <w:r w:rsidR="00F448BA">
        <w:t xml:space="preserve">elow. </w:t>
      </w:r>
      <w:r>
        <w:t>Loop 1 is in standby with helium gas.</w:t>
      </w:r>
      <w:r w:rsidR="00F448BA">
        <w:t xml:space="preserve"> Loop 2 is connected to the H2 panel and Loop 3 is connected to the D2 panel.</w:t>
      </w:r>
    </w:p>
    <w:tbl>
      <w:tblPr>
        <w:tblW w:w="8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00"/>
        <w:gridCol w:w="2250"/>
        <w:gridCol w:w="1260"/>
        <w:gridCol w:w="1260"/>
      </w:tblGrid>
      <w:tr w:rsidR="002568AF" w14:paraId="43A214A9" w14:textId="77777777" w:rsidTr="003F4B3A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815F" w14:textId="77777777" w:rsidR="002568AF" w:rsidRDefault="002568AF" w:rsidP="002568AF">
            <w:pPr>
              <w:widowControl w:val="0"/>
              <w:spacing w:after="0" w:line="240" w:lineRule="auto"/>
            </w:pPr>
            <w:r>
              <w:t>Target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D456" w14:textId="77777777" w:rsidR="002568AF" w:rsidRDefault="002568AF" w:rsidP="002568AF">
            <w:pPr>
              <w:widowControl w:val="0"/>
              <w:spacing w:after="0" w:line="240" w:lineRule="auto"/>
            </w:pPr>
            <w:r>
              <w:t>Entrance (mm)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A1E9" w14:textId="77777777" w:rsidR="002568AF" w:rsidRDefault="002568AF" w:rsidP="002568AF">
            <w:pPr>
              <w:widowControl w:val="0"/>
              <w:spacing w:after="0" w:line="240" w:lineRule="auto"/>
            </w:pPr>
            <w:r>
              <w:t>Exit (mm)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4A19" w14:textId="77777777" w:rsidR="002568AF" w:rsidRDefault="002568AF" w:rsidP="002568AF">
            <w:pPr>
              <w:widowControl w:val="0"/>
              <w:spacing w:after="0" w:line="240" w:lineRule="auto"/>
            </w:pPr>
            <w:r>
              <w:t>Length (mm)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94D9" w14:textId="77777777" w:rsidR="002568AF" w:rsidRDefault="002568AF" w:rsidP="002568AF">
            <w:pPr>
              <w:widowControl w:val="0"/>
              <w:spacing w:after="0" w:line="240" w:lineRule="auto"/>
            </w:pPr>
            <w:r>
              <w:t>Material</w:t>
            </w:r>
          </w:p>
        </w:tc>
      </w:tr>
      <w:tr w:rsidR="004F0734" w14:paraId="3C26EB0E" w14:textId="77777777" w:rsidTr="003F4B3A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D667" w14:textId="6243D070" w:rsidR="004F0734" w:rsidRDefault="004F0734" w:rsidP="004F0734">
            <w:pPr>
              <w:widowControl w:val="0"/>
              <w:spacing w:after="0" w:line="240" w:lineRule="auto"/>
            </w:pPr>
            <w:r>
              <w:t xml:space="preserve">Loop </w:t>
            </w:r>
            <w:r w:rsidR="00B44DC5">
              <w:t>1</w:t>
            </w:r>
            <w:r>
              <w:t xml:space="preserve"> (10 cm)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05C3" w14:textId="2413C8E7" w:rsidR="004F0734" w:rsidRDefault="004F0734" w:rsidP="004F0734">
            <w:pPr>
              <w:widowControl w:val="0"/>
              <w:spacing w:after="0" w:line="240" w:lineRule="auto"/>
            </w:pPr>
            <w:r>
              <w:t>0.130 ± 0.012</w:t>
            </w:r>
            <w:r w:rsidR="00B21B4E">
              <w:br/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E88E" w14:textId="77777777" w:rsidR="004F0734" w:rsidRDefault="004F0734" w:rsidP="004F0734">
            <w:pPr>
              <w:widowControl w:val="0"/>
              <w:spacing w:after="0" w:line="240" w:lineRule="auto"/>
            </w:pPr>
            <w:r>
              <w:t>0.188 ± 0.013 Tip</w:t>
            </w:r>
          </w:p>
          <w:p w14:paraId="7A10B3E1" w14:textId="242B7E08" w:rsidR="004F0734" w:rsidRDefault="004F0734" w:rsidP="004F0734">
            <w:pPr>
              <w:widowControl w:val="0"/>
              <w:spacing w:after="0" w:line="240" w:lineRule="auto"/>
            </w:pPr>
            <w:r>
              <w:t>0.184 ± 0.017 wall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ABD5" w14:textId="338EC8DB" w:rsidR="004F0734" w:rsidRDefault="004F0734" w:rsidP="004F0734">
            <w:pPr>
              <w:widowControl w:val="0"/>
              <w:spacing w:after="0" w:line="240" w:lineRule="auto"/>
            </w:pPr>
            <w:r>
              <w:t>100 ± 0.26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F634" w14:textId="07BC4C22" w:rsidR="004F0734" w:rsidRDefault="004F0734" w:rsidP="004F0734">
            <w:pPr>
              <w:widowControl w:val="0"/>
              <w:spacing w:after="0" w:line="240" w:lineRule="auto"/>
            </w:pPr>
            <w:r>
              <w:t>AL 7075</w:t>
            </w:r>
          </w:p>
        </w:tc>
      </w:tr>
      <w:tr w:rsidR="004F0734" w14:paraId="6A6AF1CE" w14:textId="77777777" w:rsidTr="003F4B3A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3A79" w14:textId="77777777" w:rsidR="004F0734" w:rsidRDefault="004F0734" w:rsidP="004F0734">
            <w:pPr>
              <w:widowControl w:val="0"/>
              <w:spacing w:after="0" w:line="240" w:lineRule="auto"/>
            </w:pPr>
            <w:r>
              <w:t xml:space="preserve">Loop 2 (10 cm)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0B3F" w14:textId="77777777" w:rsidR="004F0734" w:rsidRDefault="004F0734" w:rsidP="004F0734">
            <w:pPr>
              <w:widowControl w:val="0"/>
              <w:spacing w:after="0" w:line="240" w:lineRule="auto"/>
            </w:pPr>
            <w:r>
              <w:t>0.150 ± 0.011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612D" w14:textId="77777777" w:rsidR="004F0734" w:rsidRDefault="004F0734" w:rsidP="004F0734">
            <w:pPr>
              <w:widowControl w:val="0"/>
              <w:spacing w:after="0" w:line="240" w:lineRule="auto"/>
            </w:pPr>
            <w:r>
              <w:t>0.191± 0.019 Tip</w:t>
            </w:r>
          </w:p>
          <w:p w14:paraId="7C9CEDC3" w14:textId="77777777" w:rsidR="004F0734" w:rsidRDefault="004F0734" w:rsidP="004F0734">
            <w:pPr>
              <w:widowControl w:val="0"/>
              <w:spacing w:after="0" w:line="240" w:lineRule="auto"/>
            </w:pPr>
            <w:r>
              <w:t>0.219 ± 0.018 wall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39C4" w14:textId="77777777" w:rsidR="004F0734" w:rsidRDefault="004F0734" w:rsidP="004F0734">
            <w:pPr>
              <w:widowControl w:val="0"/>
              <w:spacing w:after="0" w:line="240" w:lineRule="auto"/>
            </w:pPr>
            <w:r>
              <w:t>100 ± 0.26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EBA5" w14:textId="77777777" w:rsidR="004F0734" w:rsidRDefault="004F0734" w:rsidP="004F0734">
            <w:pPr>
              <w:widowControl w:val="0"/>
              <w:spacing w:after="0" w:line="240" w:lineRule="auto"/>
            </w:pPr>
            <w:r>
              <w:t>AL 7075</w:t>
            </w:r>
          </w:p>
        </w:tc>
      </w:tr>
      <w:tr w:rsidR="004F0734" w14:paraId="31D607D0" w14:textId="77777777" w:rsidTr="003F4B3A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5603" w14:textId="77777777" w:rsidR="004F0734" w:rsidRDefault="004F0734" w:rsidP="004F0734">
            <w:pPr>
              <w:widowControl w:val="0"/>
              <w:spacing w:after="0" w:line="240" w:lineRule="auto"/>
            </w:pPr>
            <w:r>
              <w:t xml:space="preserve">Loop 3 (10 cm)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7353" w14:textId="65D08FFA" w:rsidR="004F0734" w:rsidRDefault="004F0734" w:rsidP="004F0734">
            <w:pPr>
              <w:widowControl w:val="0"/>
              <w:spacing w:after="0" w:line="240" w:lineRule="auto"/>
            </w:pPr>
            <w:r>
              <w:t>0.</w:t>
            </w:r>
            <w:r w:rsidR="00442055">
              <w:t>116 ± 0.00</w:t>
            </w:r>
            <w:r w:rsidR="00D44137">
              <w:t>86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26DF" w14:textId="54199564" w:rsidR="004F0734" w:rsidRDefault="004F0734" w:rsidP="004F0734">
            <w:pPr>
              <w:widowControl w:val="0"/>
              <w:spacing w:after="0" w:line="240" w:lineRule="auto"/>
            </w:pPr>
            <w:r>
              <w:t>0.18</w:t>
            </w:r>
            <w:r w:rsidR="00D44137">
              <w:t>4</w:t>
            </w:r>
            <w:r>
              <w:t xml:space="preserve"> ± 0.0</w:t>
            </w:r>
            <w:r w:rsidR="007075E2">
              <w:t>21</w:t>
            </w:r>
            <w:r>
              <w:t xml:space="preserve"> Tip</w:t>
            </w:r>
          </w:p>
          <w:p w14:paraId="30280C2F" w14:textId="1475D8A9" w:rsidR="004F0734" w:rsidRDefault="004F0734" w:rsidP="004F0734">
            <w:pPr>
              <w:widowControl w:val="0"/>
              <w:spacing w:after="0" w:line="240" w:lineRule="auto"/>
            </w:pPr>
            <w:r>
              <w:t>0.1</w:t>
            </w:r>
            <w:r w:rsidR="007075E2">
              <w:t>4</w:t>
            </w:r>
            <w:r>
              <w:t xml:space="preserve"> ± 0.0</w:t>
            </w:r>
            <w:r w:rsidR="007075E2">
              <w:t>23</w:t>
            </w:r>
            <w:r>
              <w:t xml:space="preserve"> wall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3261" w14:textId="23AFD730" w:rsidR="004F0734" w:rsidRDefault="004F0734" w:rsidP="004F0734">
            <w:pPr>
              <w:widowControl w:val="0"/>
              <w:spacing w:after="0" w:line="240" w:lineRule="auto"/>
            </w:pPr>
            <w:r>
              <w:t xml:space="preserve">100 </w:t>
            </w:r>
            <w:r w:rsidR="004A3A0E">
              <w:t>± 0.26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7BC5" w14:textId="77777777" w:rsidR="004F0734" w:rsidRDefault="004F0734" w:rsidP="004F0734">
            <w:pPr>
              <w:widowControl w:val="0"/>
              <w:spacing w:after="0" w:line="240" w:lineRule="auto"/>
            </w:pPr>
            <w:r>
              <w:t>AL 7075</w:t>
            </w:r>
          </w:p>
        </w:tc>
      </w:tr>
    </w:tbl>
    <w:p w14:paraId="7AF688D5" w14:textId="245FA8A7" w:rsidR="002568AF" w:rsidRDefault="002568AF" w:rsidP="002568AF">
      <w:pPr>
        <w:spacing w:after="0"/>
      </w:pPr>
    </w:p>
    <w:p w14:paraId="04D5DA80" w14:textId="14AE429B" w:rsidR="002533A8" w:rsidRDefault="00E47481" w:rsidP="002568AF">
      <w:pPr>
        <w:spacing w:after="0"/>
      </w:pPr>
      <w:r>
        <w:t>Entrance windows</w:t>
      </w:r>
      <w:r w:rsidR="00B34484">
        <w:t xml:space="preserve"> are</w:t>
      </w:r>
      <w:r>
        <w:t xml:space="preserve"> fabricated from Al7075 (lot</w:t>
      </w:r>
      <w:r w:rsidR="00A14E8A">
        <w:t xml:space="preserve"> </w:t>
      </w:r>
      <w:r w:rsidR="00A14E8A" w:rsidRPr="00A14E8A">
        <w:t>377271B2</w:t>
      </w:r>
      <w:r w:rsidR="00A14E8A">
        <w:t xml:space="preserve">) </w:t>
      </w:r>
    </w:p>
    <w:p w14:paraId="37871C8C" w14:textId="08C2D967" w:rsidR="007815FA" w:rsidRDefault="00F825B3" w:rsidP="002568AF">
      <w:pPr>
        <w:spacing w:after="0"/>
      </w:pPr>
      <w:hyperlink r:id="rId9" w:history="1">
        <w:r w:rsidR="007815FA">
          <w:rPr>
            <w:rStyle w:val="Hyperlink"/>
          </w:rPr>
          <w:t>CMTR HT 377271B2 | Jefferson Lab Electronic Logbook (jlab.org)</w:t>
        </w:r>
      </w:hyperlink>
    </w:p>
    <w:p w14:paraId="361AF44C" w14:textId="431AE412" w:rsidR="007815FA" w:rsidRDefault="007815FA" w:rsidP="002568AF">
      <w:pPr>
        <w:spacing w:after="0"/>
      </w:pPr>
    </w:p>
    <w:p w14:paraId="79AC65EB" w14:textId="1671EA20" w:rsidR="007815FA" w:rsidRDefault="007815FA" w:rsidP="002568AF">
      <w:pPr>
        <w:spacing w:after="0"/>
      </w:pPr>
      <w:r>
        <w:t xml:space="preserve">Exit windows </w:t>
      </w:r>
      <w:r w:rsidR="00B34484">
        <w:t>are</w:t>
      </w:r>
      <w:r>
        <w:t xml:space="preserve"> fabricated from Al7075 (</w:t>
      </w:r>
      <w:r w:rsidR="008770AD" w:rsidRPr="008770AD">
        <w:t>lot # 308151</w:t>
      </w:r>
      <w:r w:rsidR="008770AD">
        <w:t>)</w:t>
      </w:r>
    </w:p>
    <w:p w14:paraId="261ED05F" w14:textId="3F3248BC" w:rsidR="008770AD" w:rsidRDefault="00F825B3" w:rsidP="002568AF">
      <w:pPr>
        <w:spacing w:after="0"/>
      </w:pPr>
      <w:hyperlink r:id="rId10" w:history="1">
        <w:r w:rsidR="00B34484">
          <w:rPr>
            <w:rStyle w:val="Hyperlink"/>
          </w:rPr>
          <w:t xml:space="preserve">Material Certification (lot # </w:t>
        </w:r>
        <w:proofErr w:type="gramStart"/>
        <w:r w:rsidR="00B34484">
          <w:rPr>
            <w:rStyle w:val="Hyperlink"/>
          </w:rPr>
          <w:t>308151)for</w:t>
        </w:r>
        <w:proofErr w:type="gramEnd"/>
        <w:r w:rsidR="00B34484">
          <w:rPr>
            <w:rStyle w:val="Hyperlink"/>
          </w:rPr>
          <w:t xml:space="preserve"> AL7075 to be used for Hall C 10 cm exit windows | Jefferson Lab Electronic Logbook (jlab.org)</w:t>
        </w:r>
      </w:hyperlink>
    </w:p>
    <w:p w14:paraId="5EEC3E26" w14:textId="77777777" w:rsidR="002568AF" w:rsidRDefault="002568AF" w:rsidP="002568AF">
      <w:pPr>
        <w:pStyle w:val="Heading2"/>
      </w:pPr>
      <w:bookmarkStart w:id="5" w:name="_avje1bnz7seg" w:colFirst="0" w:colLast="0"/>
      <w:bookmarkEnd w:id="5"/>
      <w:r>
        <w:t>Dummy Targets</w:t>
      </w:r>
    </w:p>
    <w:p w14:paraId="281931DD" w14:textId="7C3DE71B" w:rsidR="002568AF" w:rsidRDefault="002568AF" w:rsidP="002568AF">
      <w:r>
        <w:t>The dummy targets are aluminum foils mounted on separate frames with foils located at Z positions corresponding to the cryotarget exit and entrance windows.</w:t>
      </w:r>
    </w:p>
    <w:p w14:paraId="6DD7FCDA" w14:textId="1284DC5D" w:rsidR="00B34484" w:rsidRDefault="00F825B3" w:rsidP="002568AF">
      <w:hyperlink r:id="rId11" w:history="1">
        <w:r w:rsidR="007A1B86">
          <w:rPr>
            <w:rStyle w:val="Hyperlink"/>
          </w:rPr>
          <w:t>Certs for dummy target foils 0.05" and 0.032" thick | Jefferson Lab Electronic Logbook (jlab.org)</w:t>
        </w:r>
      </w:hyperlink>
    </w:p>
    <w:tbl>
      <w:tblPr>
        <w:tblW w:w="8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2140"/>
      </w:tblGrid>
      <w:tr w:rsidR="002568AF" w14:paraId="64769844" w14:textId="77777777" w:rsidTr="003F4B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1568" w14:textId="77777777" w:rsidR="002568AF" w:rsidRDefault="002568AF" w:rsidP="002568AF">
            <w:pPr>
              <w:widowControl w:val="0"/>
              <w:spacing w:after="0" w:line="240" w:lineRule="auto"/>
            </w:pPr>
            <w:r>
              <w:t xml:space="preserve">Target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3304" w14:textId="77777777" w:rsidR="002568AF" w:rsidRDefault="002568AF" w:rsidP="002568AF">
            <w:pPr>
              <w:widowControl w:val="0"/>
              <w:spacing w:after="0" w:line="240" w:lineRule="auto"/>
            </w:pPr>
            <w:r>
              <w:t>Thickness Total (g/cm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DA3A" w14:textId="77777777" w:rsidR="002568AF" w:rsidRDefault="002568AF" w:rsidP="002568AF">
            <w:pPr>
              <w:widowControl w:val="0"/>
              <w:spacing w:after="0" w:line="240" w:lineRule="auto"/>
            </w:pPr>
            <w:r>
              <w:t>Material</w:t>
            </w:r>
          </w:p>
        </w:tc>
      </w:tr>
      <w:tr w:rsidR="002568AF" w14:paraId="1EEAED67" w14:textId="77777777" w:rsidTr="003F4B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BF79" w14:textId="722655B3" w:rsidR="002568AF" w:rsidRDefault="002568AF" w:rsidP="002568AF">
            <w:pPr>
              <w:widowControl w:val="0"/>
              <w:spacing w:after="0" w:line="240" w:lineRule="auto"/>
            </w:pPr>
            <w:r>
              <w:t>10 cm Dummy</w:t>
            </w:r>
            <w:r w:rsidR="002D15EC">
              <w:t xml:space="preserve"> Upstream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37D3" w14:textId="03CF9BE6" w:rsidR="002568AF" w:rsidRDefault="002D2610" w:rsidP="002568AF">
            <w:pPr>
              <w:widowControl w:val="0"/>
              <w:spacing w:after="0" w:line="240" w:lineRule="auto"/>
            </w:pPr>
            <w:r>
              <w:t>0.1703</w:t>
            </w:r>
            <w:r w:rsidR="004A3A0E">
              <w:t xml:space="preserve"> ± 0</w:t>
            </w:r>
            <w:r w:rsidR="001E3128">
              <w:t>.0002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55F8" w14:textId="77777777" w:rsidR="002568AF" w:rsidRDefault="002568AF" w:rsidP="002568AF">
            <w:pPr>
              <w:widowControl w:val="0"/>
              <w:spacing w:after="0" w:line="240" w:lineRule="auto"/>
            </w:pPr>
            <w:r>
              <w:t>Al 7075</w:t>
            </w:r>
          </w:p>
        </w:tc>
      </w:tr>
      <w:tr w:rsidR="002D15EC" w14:paraId="57850EF5" w14:textId="77777777" w:rsidTr="003F4B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455E" w14:textId="1942535D" w:rsidR="002D15EC" w:rsidRDefault="002D15EC" w:rsidP="002568AF">
            <w:pPr>
              <w:widowControl w:val="0"/>
              <w:spacing w:after="0" w:line="240" w:lineRule="auto"/>
            </w:pPr>
            <w:r>
              <w:t>10 cm Dummy Downstream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0FAC" w14:textId="05E843BD" w:rsidR="002D15EC" w:rsidRDefault="002D2610" w:rsidP="002568AF">
            <w:pPr>
              <w:widowControl w:val="0"/>
              <w:spacing w:after="0" w:line="240" w:lineRule="auto"/>
            </w:pPr>
            <w:r>
              <w:t>0.1677</w:t>
            </w:r>
            <w:r w:rsidR="004A3A0E">
              <w:t xml:space="preserve"> ± 0.</w:t>
            </w:r>
            <w:r w:rsidR="001E3128">
              <w:t>0002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224E" w14:textId="7CDB8A52" w:rsidR="002D15EC" w:rsidRDefault="002D15EC" w:rsidP="002568AF">
            <w:pPr>
              <w:widowControl w:val="0"/>
              <w:spacing w:after="0" w:line="240" w:lineRule="auto"/>
            </w:pPr>
            <w:r>
              <w:t>Al 7075</w:t>
            </w:r>
          </w:p>
        </w:tc>
      </w:tr>
    </w:tbl>
    <w:p w14:paraId="35A247E2" w14:textId="77777777" w:rsidR="002568AF" w:rsidRDefault="002568AF" w:rsidP="002568AF"/>
    <w:p w14:paraId="2DAC7D2C" w14:textId="77777777" w:rsidR="002568AF" w:rsidRDefault="002568AF" w:rsidP="002568AF">
      <w:pPr>
        <w:pStyle w:val="Heading2"/>
      </w:pPr>
      <w:bookmarkStart w:id="6" w:name="_5snxuz8sf3cg" w:colFirst="0" w:colLast="0"/>
      <w:bookmarkEnd w:id="6"/>
      <w:r>
        <w:t>Optics Target</w:t>
      </w:r>
    </w:p>
    <w:p w14:paraId="4D4AD32E" w14:textId="77777777" w:rsidR="002568AF" w:rsidRDefault="002568AF" w:rsidP="002568AF">
      <w:r>
        <w:t>The optics target has two positions with carbon (99.95% C) foils in a linear array with foils located nominally at:</w:t>
      </w:r>
    </w:p>
    <w:p w14:paraId="4A946F84" w14:textId="0B565564" w:rsidR="002568AF" w:rsidRDefault="009C6343" w:rsidP="002568AF">
      <w:pPr>
        <w:numPr>
          <w:ilvl w:val="0"/>
          <w:numId w:val="19"/>
        </w:numPr>
        <w:spacing w:after="0" w:line="276" w:lineRule="auto"/>
        <w:ind w:hanging="360"/>
        <w:contextualSpacing/>
      </w:pPr>
      <w:r>
        <w:t>Two</w:t>
      </w:r>
      <w:r w:rsidR="002568AF">
        <w:t xml:space="preserve"> foils located at Z = ± </w:t>
      </w:r>
      <w:r>
        <w:t>8</w:t>
      </w:r>
      <w:r w:rsidR="002568AF">
        <w:t xml:space="preserve"> cm</w:t>
      </w:r>
    </w:p>
    <w:p w14:paraId="3B86F2B2" w14:textId="1FA9B5E8" w:rsidR="002568AF" w:rsidRDefault="002568AF" w:rsidP="002568AF">
      <w:pPr>
        <w:numPr>
          <w:ilvl w:val="0"/>
          <w:numId w:val="19"/>
        </w:numPr>
        <w:spacing w:after="0" w:line="276" w:lineRule="auto"/>
        <w:ind w:hanging="360"/>
        <w:contextualSpacing/>
      </w:pPr>
      <w:r>
        <w:t xml:space="preserve">Two foils located at Z = ± </w:t>
      </w:r>
      <w:r w:rsidR="009C6343">
        <w:t>3</w:t>
      </w:r>
      <w:r>
        <w:t xml:space="preserve"> cm</w:t>
      </w:r>
    </w:p>
    <w:p w14:paraId="266EF0A4" w14:textId="77777777" w:rsidR="002568AF" w:rsidRDefault="002568AF" w:rsidP="002568AF">
      <w:pPr>
        <w:spacing w:after="0" w:line="276" w:lineRule="auto"/>
        <w:contextualSpacing/>
      </w:pPr>
    </w:p>
    <w:p w14:paraId="40460A53" w14:textId="77777777" w:rsidR="002568AF" w:rsidRPr="00A75CC2" w:rsidRDefault="002568AF" w:rsidP="002568AF">
      <w:bookmarkStart w:id="7" w:name="_x4qhvsvdyage" w:colFirst="0" w:colLast="0"/>
      <w:bookmarkEnd w:id="7"/>
      <w:r>
        <w:lastRenderedPageBreak/>
        <w:t>The nominal thickness of each carbon foil is: 0.044 ± 0.001 g/cm</w:t>
      </w:r>
      <w:r>
        <w:rPr>
          <w:vertAlign w:val="superscript"/>
        </w:rPr>
        <w:t>2</w:t>
      </w:r>
      <w:r>
        <w:t>.</w:t>
      </w:r>
      <w:r>
        <w:br w:type="page"/>
      </w:r>
    </w:p>
    <w:p w14:paraId="5A06D5E3" w14:textId="77777777" w:rsidR="002568AF" w:rsidRDefault="002568AF" w:rsidP="002568AF">
      <w:pPr>
        <w:pStyle w:val="Heading2"/>
      </w:pPr>
      <w:r>
        <w:lastRenderedPageBreak/>
        <w:t>Solid Targets</w:t>
      </w:r>
    </w:p>
    <w:p w14:paraId="53484718" w14:textId="77777777" w:rsidR="002568AF" w:rsidRDefault="002568AF" w:rsidP="002568AF">
      <w:r>
        <w:t>Solid targets are located on the solid target ladder nominally at Z = 0.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568AF" w:rsidRPr="00DF7221" w14:paraId="41DFDDC1" w14:textId="77777777" w:rsidTr="003F4B3A"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16DC5790" w14:textId="77777777" w:rsidR="002568AF" w:rsidRPr="00DF7221" w:rsidRDefault="002568AF" w:rsidP="002568AF">
            <w:pPr>
              <w:spacing w:after="0" w:line="240" w:lineRule="auto"/>
              <w:jc w:val="center"/>
            </w:pPr>
            <w:r w:rsidRPr="00DF7221">
              <w:rPr>
                <w:sz w:val="20"/>
                <w:szCs w:val="20"/>
              </w:rPr>
              <w:t>Target name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1E17DBBF" w14:textId="77777777" w:rsidR="002568AF" w:rsidRPr="00DF7221" w:rsidRDefault="002568AF" w:rsidP="002568A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Thickness (g/cm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DF7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1455FD37" w14:textId="77777777" w:rsidR="002568AF" w:rsidRPr="00DF7221" w:rsidRDefault="002568AF" w:rsidP="002568AF">
            <w:pPr>
              <w:spacing w:after="0" w:line="240" w:lineRule="auto"/>
              <w:jc w:val="center"/>
            </w:pPr>
            <w:r w:rsidRPr="00DF7221">
              <w:rPr>
                <w:sz w:val="20"/>
                <w:szCs w:val="20"/>
              </w:rPr>
              <w:t>Target Material</w:t>
            </w:r>
          </w:p>
        </w:tc>
      </w:tr>
      <w:tr w:rsidR="002568AF" w:rsidRPr="00DF7221" w14:paraId="1DBFBF75" w14:textId="77777777" w:rsidTr="003F4B3A"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444B067C" w14:textId="15ABF48D" w:rsidR="002568AF" w:rsidRPr="00DF7221" w:rsidRDefault="003D38E6" w:rsidP="002568AF">
            <w:pPr>
              <w:spacing w:after="0" w:line="240" w:lineRule="auto"/>
              <w:jc w:val="center"/>
            </w:pPr>
            <w:proofErr w:type="spellStart"/>
            <w:r>
              <w:t>BeO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4A6EE" w14:textId="099E10A3" w:rsidR="002568AF" w:rsidRPr="00DF7221" w:rsidRDefault="00D86EEC" w:rsidP="002568AF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1DC4B0CF" w14:textId="56DA2247" w:rsidR="002568AF" w:rsidRPr="00DF7221" w:rsidRDefault="00D86EEC" w:rsidP="002568AF">
            <w:pPr>
              <w:spacing w:after="0" w:line="240" w:lineRule="auto"/>
              <w:jc w:val="center"/>
            </w:pPr>
            <w:r>
              <w:t>N/A</w:t>
            </w:r>
          </w:p>
        </w:tc>
      </w:tr>
      <w:tr w:rsidR="002568AF" w:rsidRPr="00DF7221" w14:paraId="09CA5F1D" w14:textId="77777777" w:rsidTr="003F4B3A"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60209F34" w14:textId="77777777" w:rsidR="002568AF" w:rsidRPr="00DF7221" w:rsidRDefault="002568AF" w:rsidP="00256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21">
              <w:rPr>
                <w:rFonts w:ascii="Calibri" w:hAnsi="Calibri" w:cs="Calibri"/>
              </w:rPr>
              <w:t>Carbon Hole</w:t>
            </w:r>
          </w:p>
        </w:tc>
        <w:tc>
          <w:tcPr>
            <w:tcW w:w="3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87477" w14:textId="77777777" w:rsidR="002568AF" w:rsidRPr="00DF7221" w:rsidRDefault="002568AF" w:rsidP="002568AF">
            <w:pPr>
              <w:spacing w:after="0" w:line="240" w:lineRule="auto"/>
              <w:jc w:val="center"/>
            </w:pPr>
            <w:r>
              <w:t>0.171 ± 0.001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33E8EC9F" w14:textId="77777777" w:rsidR="002568AF" w:rsidRPr="00DF7221" w:rsidRDefault="002568AF" w:rsidP="00256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21">
              <w:rPr>
                <w:sz w:val="20"/>
                <w:szCs w:val="20"/>
              </w:rPr>
              <w:t>Carbon 99.95%</w:t>
            </w:r>
          </w:p>
        </w:tc>
      </w:tr>
      <w:tr w:rsidR="002568AF" w:rsidRPr="00DF7221" w14:paraId="0B0068D9" w14:textId="77777777" w:rsidTr="003F4B3A"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0F918251" w14:textId="77777777" w:rsidR="002568AF" w:rsidRPr="00DF7221" w:rsidRDefault="002568AF" w:rsidP="00256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21">
              <w:rPr>
                <w:rFonts w:ascii="Calibri" w:hAnsi="Calibri" w:cs="Calibri"/>
              </w:rPr>
              <w:t>Carbon 0.5%</w:t>
            </w:r>
          </w:p>
        </w:tc>
        <w:tc>
          <w:tcPr>
            <w:tcW w:w="31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11C24" w14:textId="77777777" w:rsidR="002568AF" w:rsidRPr="00DF7221" w:rsidRDefault="002568AF" w:rsidP="002568AF">
            <w:pPr>
              <w:spacing w:after="0" w:line="240" w:lineRule="auto"/>
              <w:jc w:val="center"/>
            </w:pPr>
            <w:r>
              <w:t>0.1749 ± 0.00035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  <w:vAlign w:val="bottom"/>
          </w:tcPr>
          <w:p w14:paraId="48E16C31" w14:textId="77777777" w:rsidR="002568AF" w:rsidRPr="00DF7221" w:rsidRDefault="002568AF" w:rsidP="00256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21">
              <w:rPr>
                <w:sz w:val="20"/>
                <w:szCs w:val="20"/>
              </w:rPr>
              <w:t>Carbon 99.95%</w:t>
            </w:r>
          </w:p>
        </w:tc>
      </w:tr>
    </w:tbl>
    <w:p w14:paraId="14518A61" w14:textId="77777777" w:rsidR="002568AF" w:rsidRDefault="002568AF" w:rsidP="002568AF"/>
    <w:p w14:paraId="173659EC" w14:textId="108ED8FB" w:rsidR="002568AF" w:rsidRDefault="00970064" w:rsidP="002568AF">
      <w:r>
        <w:t xml:space="preserve">Batch/lot numbers </w:t>
      </w:r>
      <w:r w:rsidR="00094CC6">
        <w:t xml:space="preserve">correspond to assays for each material filed in Target </w:t>
      </w:r>
      <w:proofErr w:type="spellStart"/>
      <w:r w:rsidR="00094CC6">
        <w:t>elog</w:t>
      </w:r>
      <w:proofErr w:type="spellEnd"/>
      <w:r w:rsidR="00094CC6">
        <w:t>.</w:t>
      </w:r>
    </w:p>
    <w:bookmarkEnd w:id="0"/>
    <w:sectPr w:rsidR="002568A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9868" w14:textId="77777777" w:rsidR="00B231C3" w:rsidRDefault="00B231C3" w:rsidP="009E762D">
      <w:pPr>
        <w:spacing w:after="0" w:line="240" w:lineRule="auto"/>
      </w:pPr>
      <w:r>
        <w:separator/>
      </w:r>
    </w:p>
  </w:endnote>
  <w:endnote w:type="continuationSeparator" w:id="0">
    <w:p w14:paraId="62B4559B" w14:textId="77777777" w:rsidR="00B231C3" w:rsidRDefault="00B231C3" w:rsidP="009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474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B3907" w14:textId="1B61E873" w:rsidR="0036768D" w:rsidRDefault="003676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30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30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91B814" w14:textId="77777777" w:rsidR="0036768D" w:rsidRDefault="0036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CDD2" w14:textId="77777777" w:rsidR="00B231C3" w:rsidRDefault="00B231C3" w:rsidP="009E762D">
      <w:pPr>
        <w:spacing w:after="0" w:line="240" w:lineRule="auto"/>
      </w:pPr>
      <w:r>
        <w:separator/>
      </w:r>
    </w:p>
  </w:footnote>
  <w:footnote w:type="continuationSeparator" w:id="0">
    <w:p w14:paraId="2CA94479" w14:textId="77777777" w:rsidR="00B231C3" w:rsidRDefault="00B231C3" w:rsidP="009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70A" w14:textId="7D22CAE7" w:rsidR="0036768D" w:rsidRDefault="0080240C">
    <w:pPr>
      <w:pStyle w:val="Header"/>
    </w:pPr>
    <w:r>
      <w:t>TGT-RPT-</w:t>
    </w:r>
    <w:r w:rsidR="007D0F0D">
      <w:t>2</w:t>
    </w:r>
    <w:r w:rsidR="00DC1D0C">
      <w:t>2</w:t>
    </w:r>
    <w:r w:rsidR="007D0F0D">
      <w:t>-</w:t>
    </w:r>
    <w:proofErr w:type="gramStart"/>
    <w:r w:rsidR="007D0F0D">
      <w:t>00</w:t>
    </w:r>
    <w:r w:rsidR="00547B64">
      <w:t>3</w:t>
    </w:r>
    <w:r w:rsidR="007D0F0D">
      <w:t xml:space="preserve">  </w:t>
    </w:r>
    <w:r w:rsidR="0036768D">
      <w:t>Rev</w:t>
    </w:r>
    <w:proofErr w:type="gramEnd"/>
    <w:r w:rsidR="0036768D">
      <w:t>:</w:t>
    </w:r>
    <w:r w:rsidR="007D7D1B">
      <w:t xml:space="preserve"> </w:t>
    </w:r>
    <w:r w:rsidR="0036768D">
      <w:t>0</w:t>
    </w:r>
    <w:r w:rsidR="0036768D">
      <w:ptab w:relativeTo="margin" w:alignment="center" w:leader="none"/>
    </w:r>
    <w:r w:rsidR="0036768D">
      <w:ptab w:relativeTo="margin" w:alignment="right" w:leader="none"/>
    </w:r>
    <w:sdt>
      <w:sdtPr>
        <w:id w:val="1557745222"/>
        <w:placeholder>
          <w:docPart w:val="DefaultPlaceholder_-1854013438"/>
        </w:placeholder>
        <w:date w:fullDate="2022-06-0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547B64">
          <w:t>6/6/2022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394"/>
    <w:multiLevelType w:val="hybridMultilevel"/>
    <w:tmpl w:val="D0E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C67"/>
    <w:multiLevelType w:val="hybridMultilevel"/>
    <w:tmpl w:val="99E6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0D6"/>
    <w:multiLevelType w:val="hybridMultilevel"/>
    <w:tmpl w:val="DFF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A2C"/>
    <w:multiLevelType w:val="multilevel"/>
    <w:tmpl w:val="FE6AB85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8" w:hanging="216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4E2180"/>
    <w:multiLevelType w:val="hybridMultilevel"/>
    <w:tmpl w:val="4EDCD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6BF"/>
    <w:multiLevelType w:val="hybridMultilevel"/>
    <w:tmpl w:val="D930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5DEC"/>
    <w:multiLevelType w:val="hybridMultilevel"/>
    <w:tmpl w:val="D91C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EB9"/>
    <w:multiLevelType w:val="hybridMultilevel"/>
    <w:tmpl w:val="0B22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5DEB"/>
    <w:multiLevelType w:val="hybridMultilevel"/>
    <w:tmpl w:val="807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DC4"/>
    <w:multiLevelType w:val="hybridMultilevel"/>
    <w:tmpl w:val="907A340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45AF10D7"/>
    <w:multiLevelType w:val="hybridMultilevel"/>
    <w:tmpl w:val="5E0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3E3"/>
    <w:multiLevelType w:val="hybridMultilevel"/>
    <w:tmpl w:val="1F50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01240"/>
    <w:multiLevelType w:val="hybridMultilevel"/>
    <w:tmpl w:val="A14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4959"/>
    <w:multiLevelType w:val="hybridMultilevel"/>
    <w:tmpl w:val="219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16CB"/>
    <w:multiLevelType w:val="hybridMultilevel"/>
    <w:tmpl w:val="2AC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58DA"/>
    <w:multiLevelType w:val="hybridMultilevel"/>
    <w:tmpl w:val="EC7A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1E7F"/>
    <w:multiLevelType w:val="hybridMultilevel"/>
    <w:tmpl w:val="4BF4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06825"/>
    <w:multiLevelType w:val="hybridMultilevel"/>
    <w:tmpl w:val="5BD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72C79"/>
    <w:multiLevelType w:val="multilevel"/>
    <w:tmpl w:val="B2D2AB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808473231">
    <w:abstractNumId w:val="3"/>
  </w:num>
  <w:num w:numId="2" w16cid:durableId="701173064">
    <w:abstractNumId w:val="2"/>
  </w:num>
  <w:num w:numId="3" w16cid:durableId="1912307682">
    <w:abstractNumId w:val="7"/>
  </w:num>
  <w:num w:numId="4" w16cid:durableId="718355566">
    <w:abstractNumId w:val="13"/>
  </w:num>
  <w:num w:numId="5" w16cid:durableId="92946372">
    <w:abstractNumId w:val="15"/>
  </w:num>
  <w:num w:numId="6" w16cid:durableId="1002784672">
    <w:abstractNumId w:val="5"/>
  </w:num>
  <w:num w:numId="7" w16cid:durableId="1817722954">
    <w:abstractNumId w:val="10"/>
  </w:num>
  <w:num w:numId="8" w16cid:durableId="242953492">
    <w:abstractNumId w:val="0"/>
  </w:num>
  <w:num w:numId="9" w16cid:durableId="746195502">
    <w:abstractNumId w:val="6"/>
  </w:num>
  <w:num w:numId="10" w16cid:durableId="1817187031">
    <w:abstractNumId w:val="1"/>
  </w:num>
  <w:num w:numId="11" w16cid:durableId="1126309565">
    <w:abstractNumId w:val="12"/>
  </w:num>
  <w:num w:numId="12" w16cid:durableId="1717117628">
    <w:abstractNumId w:val="14"/>
  </w:num>
  <w:num w:numId="13" w16cid:durableId="1120999259">
    <w:abstractNumId w:val="16"/>
  </w:num>
  <w:num w:numId="14" w16cid:durableId="196627855">
    <w:abstractNumId w:val="9"/>
  </w:num>
  <w:num w:numId="15" w16cid:durableId="1076434813">
    <w:abstractNumId w:val="4"/>
  </w:num>
  <w:num w:numId="16" w16cid:durableId="861550354">
    <w:abstractNumId w:val="11"/>
  </w:num>
  <w:num w:numId="17" w16cid:durableId="355616921">
    <w:abstractNumId w:val="17"/>
  </w:num>
  <w:num w:numId="18" w16cid:durableId="802625348">
    <w:abstractNumId w:val="8"/>
  </w:num>
  <w:num w:numId="19" w16cid:durableId="15292994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CB"/>
    <w:rsid w:val="00002921"/>
    <w:rsid w:val="000057B2"/>
    <w:rsid w:val="00024BE5"/>
    <w:rsid w:val="000259B7"/>
    <w:rsid w:val="00025D45"/>
    <w:rsid w:val="000302DC"/>
    <w:rsid w:val="00046521"/>
    <w:rsid w:val="00046E49"/>
    <w:rsid w:val="0005019B"/>
    <w:rsid w:val="00051189"/>
    <w:rsid w:val="000511F3"/>
    <w:rsid w:val="0005257B"/>
    <w:rsid w:val="00055437"/>
    <w:rsid w:val="00056EFE"/>
    <w:rsid w:val="00060F16"/>
    <w:rsid w:val="0006164D"/>
    <w:rsid w:val="00070383"/>
    <w:rsid w:val="000706F8"/>
    <w:rsid w:val="000856C6"/>
    <w:rsid w:val="00086BFE"/>
    <w:rsid w:val="00093BFC"/>
    <w:rsid w:val="00094CC6"/>
    <w:rsid w:val="000D60B6"/>
    <w:rsid w:val="000E1DCB"/>
    <w:rsid w:val="000E53D9"/>
    <w:rsid w:val="000E7AE9"/>
    <w:rsid w:val="00100B83"/>
    <w:rsid w:val="00106DA1"/>
    <w:rsid w:val="00112181"/>
    <w:rsid w:val="001131F2"/>
    <w:rsid w:val="00120392"/>
    <w:rsid w:val="00121F3B"/>
    <w:rsid w:val="00123433"/>
    <w:rsid w:val="00130647"/>
    <w:rsid w:val="00130FD2"/>
    <w:rsid w:val="001371AB"/>
    <w:rsid w:val="00142509"/>
    <w:rsid w:val="001521B7"/>
    <w:rsid w:val="00157224"/>
    <w:rsid w:val="00161622"/>
    <w:rsid w:val="00161D64"/>
    <w:rsid w:val="00162072"/>
    <w:rsid w:val="0016474A"/>
    <w:rsid w:val="00171977"/>
    <w:rsid w:val="001770B4"/>
    <w:rsid w:val="00184C3B"/>
    <w:rsid w:val="0019424E"/>
    <w:rsid w:val="001A3179"/>
    <w:rsid w:val="001A6D37"/>
    <w:rsid w:val="001B3724"/>
    <w:rsid w:val="001E0ED6"/>
    <w:rsid w:val="001E3128"/>
    <w:rsid w:val="001F0E7E"/>
    <w:rsid w:val="002073CC"/>
    <w:rsid w:val="00224C68"/>
    <w:rsid w:val="0022753F"/>
    <w:rsid w:val="00227D74"/>
    <w:rsid w:val="0023021E"/>
    <w:rsid w:val="002315EC"/>
    <w:rsid w:val="00234049"/>
    <w:rsid w:val="00234AAC"/>
    <w:rsid w:val="00237F97"/>
    <w:rsid w:val="002455E7"/>
    <w:rsid w:val="00252517"/>
    <w:rsid w:val="002533A8"/>
    <w:rsid w:val="002568AF"/>
    <w:rsid w:val="002579CF"/>
    <w:rsid w:val="0026316A"/>
    <w:rsid w:val="002649EB"/>
    <w:rsid w:val="0026628E"/>
    <w:rsid w:val="00272639"/>
    <w:rsid w:val="00276B2E"/>
    <w:rsid w:val="00281DE6"/>
    <w:rsid w:val="00286E85"/>
    <w:rsid w:val="00292E40"/>
    <w:rsid w:val="002B06C3"/>
    <w:rsid w:val="002B54B9"/>
    <w:rsid w:val="002C2897"/>
    <w:rsid w:val="002D15EC"/>
    <w:rsid w:val="002D1B21"/>
    <w:rsid w:val="002D2610"/>
    <w:rsid w:val="002E5833"/>
    <w:rsid w:val="002F5A92"/>
    <w:rsid w:val="002F6049"/>
    <w:rsid w:val="002F6A70"/>
    <w:rsid w:val="003125FF"/>
    <w:rsid w:val="003142B7"/>
    <w:rsid w:val="00316767"/>
    <w:rsid w:val="003206ED"/>
    <w:rsid w:val="00323310"/>
    <w:rsid w:val="00326E1E"/>
    <w:rsid w:val="00333A66"/>
    <w:rsid w:val="00336E92"/>
    <w:rsid w:val="003400E4"/>
    <w:rsid w:val="003555B5"/>
    <w:rsid w:val="003556EE"/>
    <w:rsid w:val="00363292"/>
    <w:rsid w:val="00365961"/>
    <w:rsid w:val="0036768D"/>
    <w:rsid w:val="003679BA"/>
    <w:rsid w:val="003908E9"/>
    <w:rsid w:val="0039411D"/>
    <w:rsid w:val="003A26C1"/>
    <w:rsid w:val="003A27AB"/>
    <w:rsid w:val="003A4615"/>
    <w:rsid w:val="003B697A"/>
    <w:rsid w:val="003C3235"/>
    <w:rsid w:val="003C69AB"/>
    <w:rsid w:val="003D0F43"/>
    <w:rsid w:val="003D1A4A"/>
    <w:rsid w:val="003D38E6"/>
    <w:rsid w:val="003F6925"/>
    <w:rsid w:val="004014F7"/>
    <w:rsid w:val="00404488"/>
    <w:rsid w:val="004117B5"/>
    <w:rsid w:val="00412FB1"/>
    <w:rsid w:val="004209A4"/>
    <w:rsid w:val="00426AF4"/>
    <w:rsid w:val="00436F30"/>
    <w:rsid w:val="00437098"/>
    <w:rsid w:val="00441FE9"/>
    <w:rsid w:val="00442055"/>
    <w:rsid w:val="0044516E"/>
    <w:rsid w:val="00446E8E"/>
    <w:rsid w:val="004555CF"/>
    <w:rsid w:val="00455A75"/>
    <w:rsid w:val="0045727D"/>
    <w:rsid w:val="00465594"/>
    <w:rsid w:val="004728ED"/>
    <w:rsid w:val="00472D52"/>
    <w:rsid w:val="00473536"/>
    <w:rsid w:val="00481C69"/>
    <w:rsid w:val="00485E4E"/>
    <w:rsid w:val="00486DBD"/>
    <w:rsid w:val="004A0CF4"/>
    <w:rsid w:val="004A352B"/>
    <w:rsid w:val="004A3A0E"/>
    <w:rsid w:val="004B17CC"/>
    <w:rsid w:val="004B1D84"/>
    <w:rsid w:val="004C5DCC"/>
    <w:rsid w:val="004C65B8"/>
    <w:rsid w:val="004D3C3A"/>
    <w:rsid w:val="004E6BAA"/>
    <w:rsid w:val="004E711D"/>
    <w:rsid w:val="004F0734"/>
    <w:rsid w:val="004F7A23"/>
    <w:rsid w:val="00520FBE"/>
    <w:rsid w:val="00522FF3"/>
    <w:rsid w:val="00534FA1"/>
    <w:rsid w:val="00536979"/>
    <w:rsid w:val="00543032"/>
    <w:rsid w:val="00545251"/>
    <w:rsid w:val="00547B64"/>
    <w:rsid w:val="00551B9D"/>
    <w:rsid w:val="005564E5"/>
    <w:rsid w:val="00563775"/>
    <w:rsid w:val="00563F1F"/>
    <w:rsid w:val="00564335"/>
    <w:rsid w:val="0057360F"/>
    <w:rsid w:val="00574689"/>
    <w:rsid w:val="005837A1"/>
    <w:rsid w:val="00586D2B"/>
    <w:rsid w:val="005912EE"/>
    <w:rsid w:val="0059197F"/>
    <w:rsid w:val="00597021"/>
    <w:rsid w:val="005D3A2F"/>
    <w:rsid w:val="005E4431"/>
    <w:rsid w:val="005F7080"/>
    <w:rsid w:val="00606309"/>
    <w:rsid w:val="0061294E"/>
    <w:rsid w:val="00612E84"/>
    <w:rsid w:val="00622EE7"/>
    <w:rsid w:val="0063021B"/>
    <w:rsid w:val="0063155D"/>
    <w:rsid w:val="0063345F"/>
    <w:rsid w:val="00634D98"/>
    <w:rsid w:val="0064787E"/>
    <w:rsid w:val="00654C38"/>
    <w:rsid w:val="00654E26"/>
    <w:rsid w:val="00667A1B"/>
    <w:rsid w:val="006751E2"/>
    <w:rsid w:val="006758EF"/>
    <w:rsid w:val="00676D10"/>
    <w:rsid w:val="00686C18"/>
    <w:rsid w:val="00697D47"/>
    <w:rsid w:val="006A03E4"/>
    <w:rsid w:val="006A0A6D"/>
    <w:rsid w:val="006A4E02"/>
    <w:rsid w:val="006B37C8"/>
    <w:rsid w:val="006C5D57"/>
    <w:rsid w:val="006D1CAB"/>
    <w:rsid w:val="006E02B7"/>
    <w:rsid w:val="006F4103"/>
    <w:rsid w:val="00703B6A"/>
    <w:rsid w:val="00705C7F"/>
    <w:rsid w:val="007075E2"/>
    <w:rsid w:val="00707F65"/>
    <w:rsid w:val="00713648"/>
    <w:rsid w:val="00714C52"/>
    <w:rsid w:val="0071540F"/>
    <w:rsid w:val="00723721"/>
    <w:rsid w:val="0072581D"/>
    <w:rsid w:val="0074508E"/>
    <w:rsid w:val="007455C2"/>
    <w:rsid w:val="00751A4D"/>
    <w:rsid w:val="00751D70"/>
    <w:rsid w:val="00752931"/>
    <w:rsid w:val="007538ED"/>
    <w:rsid w:val="0076014F"/>
    <w:rsid w:val="00770619"/>
    <w:rsid w:val="007757BA"/>
    <w:rsid w:val="00777194"/>
    <w:rsid w:val="007802BB"/>
    <w:rsid w:val="007815FA"/>
    <w:rsid w:val="007842A5"/>
    <w:rsid w:val="007929FC"/>
    <w:rsid w:val="00793B03"/>
    <w:rsid w:val="007A0B66"/>
    <w:rsid w:val="007A1B86"/>
    <w:rsid w:val="007A7297"/>
    <w:rsid w:val="007C0D77"/>
    <w:rsid w:val="007C5A32"/>
    <w:rsid w:val="007D01E5"/>
    <w:rsid w:val="007D0F0D"/>
    <w:rsid w:val="007D1E3A"/>
    <w:rsid w:val="007D7D1B"/>
    <w:rsid w:val="0080240C"/>
    <w:rsid w:val="00802FB3"/>
    <w:rsid w:val="00804B21"/>
    <w:rsid w:val="00813988"/>
    <w:rsid w:val="00821B37"/>
    <w:rsid w:val="0083717E"/>
    <w:rsid w:val="00843EC7"/>
    <w:rsid w:val="00847807"/>
    <w:rsid w:val="00850DED"/>
    <w:rsid w:val="00856434"/>
    <w:rsid w:val="00860955"/>
    <w:rsid w:val="00870CB4"/>
    <w:rsid w:val="00871FB6"/>
    <w:rsid w:val="00874DFC"/>
    <w:rsid w:val="00875380"/>
    <w:rsid w:val="008770AD"/>
    <w:rsid w:val="0089044C"/>
    <w:rsid w:val="008936D9"/>
    <w:rsid w:val="00893DE1"/>
    <w:rsid w:val="00895652"/>
    <w:rsid w:val="00897781"/>
    <w:rsid w:val="008A074C"/>
    <w:rsid w:val="008A6465"/>
    <w:rsid w:val="008B1937"/>
    <w:rsid w:val="008B41E6"/>
    <w:rsid w:val="008C046A"/>
    <w:rsid w:val="008C2698"/>
    <w:rsid w:val="008D4410"/>
    <w:rsid w:val="008E0841"/>
    <w:rsid w:val="008F275F"/>
    <w:rsid w:val="0090047C"/>
    <w:rsid w:val="0090399C"/>
    <w:rsid w:val="00905D67"/>
    <w:rsid w:val="00911154"/>
    <w:rsid w:val="00916DF1"/>
    <w:rsid w:val="009221E7"/>
    <w:rsid w:val="009254B4"/>
    <w:rsid w:val="00926D7A"/>
    <w:rsid w:val="00932A13"/>
    <w:rsid w:val="00953E16"/>
    <w:rsid w:val="009563E3"/>
    <w:rsid w:val="00960073"/>
    <w:rsid w:val="00961B50"/>
    <w:rsid w:val="00964181"/>
    <w:rsid w:val="00970064"/>
    <w:rsid w:val="0097137C"/>
    <w:rsid w:val="00974DEB"/>
    <w:rsid w:val="00977BFE"/>
    <w:rsid w:val="00984E93"/>
    <w:rsid w:val="00994217"/>
    <w:rsid w:val="0099690E"/>
    <w:rsid w:val="009A1C72"/>
    <w:rsid w:val="009A2F8B"/>
    <w:rsid w:val="009C5937"/>
    <w:rsid w:val="009C6343"/>
    <w:rsid w:val="009D2DDD"/>
    <w:rsid w:val="009E27AE"/>
    <w:rsid w:val="009E762D"/>
    <w:rsid w:val="00A0202F"/>
    <w:rsid w:val="00A06E38"/>
    <w:rsid w:val="00A10356"/>
    <w:rsid w:val="00A11FCF"/>
    <w:rsid w:val="00A14424"/>
    <w:rsid w:val="00A14E8A"/>
    <w:rsid w:val="00A31F95"/>
    <w:rsid w:val="00A35F93"/>
    <w:rsid w:val="00A61070"/>
    <w:rsid w:val="00A62198"/>
    <w:rsid w:val="00A62308"/>
    <w:rsid w:val="00A626A3"/>
    <w:rsid w:val="00A66054"/>
    <w:rsid w:val="00A83437"/>
    <w:rsid w:val="00AA2762"/>
    <w:rsid w:val="00AB2DC3"/>
    <w:rsid w:val="00AD6CB4"/>
    <w:rsid w:val="00AF1D68"/>
    <w:rsid w:val="00AF3B68"/>
    <w:rsid w:val="00AF49AA"/>
    <w:rsid w:val="00AF68C9"/>
    <w:rsid w:val="00AF6985"/>
    <w:rsid w:val="00B01529"/>
    <w:rsid w:val="00B20E96"/>
    <w:rsid w:val="00B21B4E"/>
    <w:rsid w:val="00B231C3"/>
    <w:rsid w:val="00B261D5"/>
    <w:rsid w:val="00B34484"/>
    <w:rsid w:val="00B34E95"/>
    <w:rsid w:val="00B44DC5"/>
    <w:rsid w:val="00B455DA"/>
    <w:rsid w:val="00B50FC2"/>
    <w:rsid w:val="00B5607D"/>
    <w:rsid w:val="00B601F0"/>
    <w:rsid w:val="00B61C74"/>
    <w:rsid w:val="00B65FCC"/>
    <w:rsid w:val="00B712AE"/>
    <w:rsid w:val="00B75569"/>
    <w:rsid w:val="00B77FF6"/>
    <w:rsid w:val="00B82E38"/>
    <w:rsid w:val="00BA2E79"/>
    <w:rsid w:val="00BA45F2"/>
    <w:rsid w:val="00BC0370"/>
    <w:rsid w:val="00BC6BFF"/>
    <w:rsid w:val="00BD72A3"/>
    <w:rsid w:val="00BE3DEF"/>
    <w:rsid w:val="00BF6B06"/>
    <w:rsid w:val="00C01BE6"/>
    <w:rsid w:val="00C02998"/>
    <w:rsid w:val="00C061C6"/>
    <w:rsid w:val="00C23C13"/>
    <w:rsid w:val="00C23F8B"/>
    <w:rsid w:val="00C278BD"/>
    <w:rsid w:val="00C32B59"/>
    <w:rsid w:val="00C343DF"/>
    <w:rsid w:val="00C43D65"/>
    <w:rsid w:val="00C542A8"/>
    <w:rsid w:val="00C61779"/>
    <w:rsid w:val="00C658BF"/>
    <w:rsid w:val="00CA788E"/>
    <w:rsid w:val="00CB2ECF"/>
    <w:rsid w:val="00CC60B9"/>
    <w:rsid w:val="00CC630E"/>
    <w:rsid w:val="00CD4EBF"/>
    <w:rsid w:val="00CE4383"/>
    <w:rsid w:val="00CE48D8"/>
    <w:rsid w:val="00CF07C5"/>
    <w:rsid w:val="00CF7BD3"/>
    <w:rsid w:val="00D0243A"/>
    <w:rsid w:val="00D05899"/>
    <w:rsid w:val="00D12A96"/>
    <w:rsid w:val="00D31D0B"/>
    <w:rsid w:val="00D41F3C"/>
    <w:rsid w:val="00D43E30"/>
    <w:rsid w:val="00D44137"/>
    <w:rsid w:val="00D46694"/>
    <w:rsid w:val="00D47E59"/>
    <w:rsid w:val="00D514A8"/>
    <w:rsid w:val="00D533F9"/>
    <w:rsid w:val="00D54A0F"/>
    <w:rsid w:val="00D55458"/>
    <w:rsid w:val="00D733C1"/>
    <w:rsid w:val="00D86EEC"/>
    <w:rsid w:val="00D9137B"/>
    <w:rsid w:val="00D96118"/>
    <w:rsid w:val="00DA6AB3"/>
    <w:rsid w:val="00DC1D0C"/>
    <w:rsid w:val="00DD249C"/>
    <w:rsid w:val="00DD361A"/>
    <w:rsid w:val="00DE0EE1"/>
    <w:rsid w:val="00DF0323"/>
    <w:rsid w:val="00E0000A"/>
    <w:rsid w:val="00E03AB8"/>
    <w:rsid w:val="00E333FD"/>
    <w:rsid w:val="00E341C2"/>
    <w:rsid w:val="00E47481"/>
    <w:rsid w:val="00E521B1"/>
    <w:rsid w:val="00E660A5"/>
    <w:rsid w:val="00E67BFB"/>
    <w:rsid w:val="00E76F4D"/>
    <w:rsid w:val="00E80DF5"/>
    <w:rsid w:val="00E87C61"/>
    <w:rsid w:val="00E95A66"/>
    <w:rsid w:val="00EA38F0"/>
    <w:rsid w:val="00EB091A"/>
    <w:rsid w:val="00EB2A62"/>
    <w:rsid w:val="00EC0E58"/>
    <w:rsid w:val="00EC6160"/>
    <w:rsid w:val="00ED076D"/>
    <w:rsid w:val="00ED16FD"/>
    <w:rsid w:val="00ED7D9C"/>
    <w:rsid w:val="00EE0F16"/>
    <w:rsid w:val="00EE6454"/>
    <w:rsid w:val="00F034C6"/>
    <w:rsid w:val="00F053E1"/>
    <w:rsid w:val="00F124B2"/>
    <w:rsid w:val="00F12947"/>
    <w:rsid w:val="00F2082B"/>
    <w:rsid w:val="00F2154F"/>
    <w:rsid w:val="00F233B3"/>
    <w:rsid w:val="00F4137B"/>
    <w:rsid w:val="00F448BA"/>
    <w:rsid w:val="00F54C1B"/>
    <w:rsid w:val="00F60240"/>
    <w:rsid w:val="00F8012F"/>
    <w:rsid w:val="00F807C4"/>
    <w:rsid w:val="00F80DF7"/>
    <w:rsid w:val="00F9284A"/>
    <w:rsid w:val="00F935DE"/>
    <w:rsid w:val="00F9710B"/>
    <w:rsid w:val="00FC6576"/>
    <w:rsid w:val="00FC7353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91CC"/>
  <w15:docId w15:val="{2243652B-F4CC-459A-8905-D38CAE9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297"/>
    <w:pPr>
      <w:pageBreakBefore/>
      <w:widowControl w:val="0"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54"/>
    <w:pPr>
      <w:widowControl w:val="0"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E7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3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297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154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E7E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53E1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A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7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3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1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1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23F8B"/>
    <w:pPr>
      <w:ind w:left="720"/>
      <w:contextualSpacing/>
    </w:pPr>
  </w:style>
  <w:style w:type="table" w:styleId="TableGrid">
    <w:name w:val="Table Grid"/>
    <w:basedOn w:val="TableNormal"/>
    <w:uiPriority w:val="59"/>
    <w:rsid w:val="0057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Spacing"/>
    <w:link w:val="NormalChar"/>
    <w:qFormat/>
    <w:rsid w:val="00574689"/>
    <w:pPr>
      <w:ind w:right="144"/>
    </w:pPr>
    <w:rPr>
      <w:rFonts w:ascii="Calibri" w:eastAsia="Calibri" w:hAnsi="Calibri" w:cs="Times New Roman"/>
      <w:sz w:val="24"/>
      <w:szCs w:val="24"/>
    </w:rPr>
  </w:style>
  <w:style w:type="character" w:customStyle="1" w:styleId="NormalChar">
    <w:name w:val="Normal Char"/>
    <w:basedOn w:val="DefaultParagraphFont"/>
    <w:link w:val="Normal1"/>
    <w:rsid w:val="00574689"/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574689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E80DF5"/>
  </w:style>
  <w:style w:type="paragraph" w:styleId="Caption">
    <w:name w:val="caption"/>
    <w:basedOn w:val="Normal"/>
    <w:next w:val="Normal"/>
    <w:uiPriority w:val="35"/>
    <w:unhideWhenUsed/>
    <w:qFormat/>
    <w:rsid w:val="00847807"/>
    <w:pPr>
      <w:spacing w:after="200" w:line="240" w:lineRule="auto"/>
    </w:pPr>
    <w:rPr>
      <w:bCs/>
      <w:color w:val="000000" w:themeColor="text1"/>
      <w:szCs w:val="18"/>
    </w:rPr>
  </w:style>
  <w:style w:type="paragraph" w:styleId="NormalWeb">
    <w:name w:val="Normal (Web)"/>
    <w:basedOn w:val="Normal"/>
    <w:uiPriority w:val="99"/>
    <w:unhideWhenUsed/>
    <w:rsid w:val="0092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F6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B455DA"/>
    <w:rPr>
      <w:b/>
      <w:bCs/>
    </w:rPr>
  </w:style>
  <w:style w:type="table" w:customStyle="1" w:styleId="GridTable1Light1">
    <w:name w:val="Grid Table 1 Light1"/>
    <w:basedOn w:val="TableNormal"/>
    <w:uiPriority w:val="46"/>
    <w:rsid w:val="00F12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3679BA"/>
  </w:style>
  <w:style w:type="character" w:customStyle="1" w:styleId="object">
    <w:name w:val="object"/>
    <w:basedOn w:val="DefaultParagraphFont"/>
    <w:rsid w:val="003679BA"/>
  </w:style>
  <w:style w:type="character" w:styleId="Hyperlink">
    <w:name w:val="Hyperlink"/>
    <w:basedOn w:val="DefaultParagraphFont"/>
    <w:uiPriority w:val="99"/>
    <w:unhideWhenUsed/>
    <w:rsid w:val="003679BA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051189"/>
    <w:rPr>
      <w:i/>
      <w:iCs/>
      <w:color w:val="404040" w:themeColor="text1" w:themeTint="BF"/>
    </w:rPr>
  </w:style>
  <w:style w:type="character" w:customStyle="1" w:styleId="mw-headline">
    <w:name w:val="mw-headline"/>
    <w:basedOn w:val="DefaultParagraphFont"/>
    <w:rsid w:val="00B61C74"/>
  </w:style>
  <w:style w:type="paragraph" w:styleId="Header">
    <w:name w:val="header"/>
    <w:basedOn w:val="Normal"/>
    <w:link w:val="HeaderChar"/>
    <w:uiPriority w:val="99"/>
    <w:unhideWhenUsed/>
    <w:rsid w:val="009E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2D"/>
  </w:style>
  <w:style w:type="paragraph" w:styleId="Footer">
    <w:name w:val="footer"/>
    <w:basedOn w:val="Normal"/>
    <w:link w:val="FooterChar"/>
    <w:uiPriority w:val="99"/>
    <w:unhideWhenUsed/>
    <w:rsid w:val="009E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2D"/>
  </w:style>
  <w:style w:type="character" w:styleId="PlaceholderText">
    <w:name w:val="Placeholder Text"/>
    <w:basedOn w:val="DefaultParagraphFont"/>
    <w:uiPriority w:val="99"/>
    <w:semiHidden/>
    <w:rsid w:val="009E7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6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42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70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55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47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55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6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books.jlab.org/entry/3868416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books.jlab.org/entry/3479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books.jlab.org/entry/385869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ekins\OneDrive-Personal\Documents\Templates\Word\Report-me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6AD-EA0E-4A9D-A658-28320F52252A}"/>
      </w:docPartPr>
      <w:docPartBody>
        <w:p w:rsidR="003C6AC3" w:rsidRDefault="00C105CC">
          <w:r w:rsidRPr="002A5D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99D59CB1324147953772D26A76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8894-65BA-4F42-9DFD-C34C03311538}"/>
      </w:docPartPr>
      <w:docPartBody>
        <w:p w:rsidR="009A456E" w:rsidRDefault="00B1774C" w:rsidP="00B1774C">
          <w:pPr>
            <w:pStyle w:val="6B99D59CB1324147953772D26A762C41"/>
          </w:pPr>
          <w:r w:rsidRPr="00EC14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0E"/>
    <w:rsid w:val="000E3344"/>
    <w:rsid w:val="00231066"/>
    <w:rsid w:val="003C6AC3"/>
    <w:rsid w:val="00446120"/>
    <w:rsid w:val="0071377D"/>
    <w:rsid w:val="008F3D0C"/>
    <w:rsid w:val="00907C30"/>
    <w:rsid w:val="009A456E"/>
    <w:rsid w:val="009B239B"/>
    <w:rsid w:val="00AD6B3B"/>
    <w:rsid w:val="00B1774C"/>
    <w:rsid w:val="00C105CC"/>
    <w:rsid w:val="00C87E01"/>
    <w:rsid w:val="00CB73EA"/>
    <w:rsid w:val="00F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066"/>
    <w:rPr>
      <w:color w:val="808080"/>
    </w:rPr>
  </w:style>
  <w:style w:type="paragraph" w:customStyle="1" w:styleId="6B99D59CB1324147953772D26A762C41">
    <w:name w:val="6B99D59CB1324147953772D26A762C41"/>
    <w:rsid w:val="00B1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Pet10</b:Tag>
    <b:SourceType>Report</b:SourceType>
    <b:Guid>{1FC84524-B2B3-4C88-B75B-DADB97AA8AAB}</b:Guid>
    <b:Author>
      <b:Author>
        <b:NameList>
          <b:Person>
            <b:Last>Petratos</b:Last>
            <b:First>G.</b:First>
          </b:Person>
          <b:Person>
            <b:Last>et. al.</b:Last>
          </b:Person>
        </b:NameList>
      </b:Author>
    </b:Author>
    <b:Title>JLab MARATHON Experiment E12-10-103</b:Title>
    <b:Year>2010</b:Year>
    <b:RefOrder>1</b:RefOrder>
  </b:Source>
  <b:Source>
    <b:Tag>Sol11</b:Tag>
    <b:SourceType>Report</b:SourceType>
    <b:Guid>{59FBD72E-2D85-479E-A257-56CAB42D5039}</b:Guid>
    <b:Title>JLab Experiment E12-06-112</b:Title>
    <b:Year>2011</b:Year>
    <b:Author>
      <b:Author>
        <b:NameList>
          <b:Person>
            <b:Last>Solvignon</b:Last>
            <b:First>P.</b:First>
          </b:Person>
          <b:Person>
            <b:Last>et. al.</b:Last>
          </b:Person>
        </b:NameList>
      </b:Author>
    </b:Author>
    <b:RefOrder>2</b:RefOrder>
  </b:Source>
  <b:Source>
    <b:Tag>Wei14</b:Tag>
    <b:SourceType>Report</b:SourceType>
    <b:Guid>{B9B28D4B-0D6B-4CAE-A66F-EC9F5ABF31B3}</b:Guid>
    <b:Title>Proposal E12-14-011</b:Title>
    <b:Year>2014</b:Year>
    <b:Author>
      <b:Author>
        <b:NameList>
          <b:Person>
            <b:Last>Weinstein</b:Last>
            <b:First>L</b:First>
          </b:Person>
          <b:Person>
            <b:Last>et. al.</b:Last>
          </b:Person>
        </b:NameList>
      </b:Author>
    </b:Author>
    <b:RefOrder>3</b:RefOrder>
  </b:Source>
  <b:Source>
    <b:Tag>Mye14</b:Tag>
    <b:SourceType>Report</b:SourceType>
    <b:Guid>{585D976D-2020-4540-ABDE-6A4AC61EA499}</b:Guid>
    <b:Author>
      <b:Author>
        <b:NameList>
          <b:Person>
            <b:Last>Myers</b:Last>
          </b:Person>
          <b:Person>
            <b:First>L.</b:First>
          </b:Person>
          <b:Person>
            <b:Last>et. al.</b:Last>
          </b:Person>
        </b:NameList>
      </b:Author>
    </b:Author>
    <b:Title>Ratio of the electric form factor in the mirror nuclei 3He and 3H E12-14-009</b:Title>
    <b:Year>2014</b:Year>
    <b:RefOrder>4</b:RefOrder>
  </b:Source>
</b:Sources>
</file>

<file path=customXml/itemProps1.xml><?xml version="1.0" encoding="utf-8"?>
<ds:datastoreItem xmlns:ds="http://schemas.openxmlformats.org/officeDocument/2006/customXml" ds:itemID="{AD8790DF-781E-406B-99DC-D5930B3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Report-meek.dotx</Template>
  <TotalTime>1</TotalTime>
  <Pages>7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Meekins</dc:creator>
  <cp:keywords/>
  <cp:lastModifiedBy>Dave Meekins</cp:lastModifiedBy>
  <cp:revision>2</cp:revision>
  <cp:lastPrinted>2022-03-04T06:22:00Z</cp:lastPrinted>
  <dcterms:created xsi:type="dcterms:W3CDTF">2022-06-06T18:18:00Z</dcterms:created>
  <dcterms:modified xsi:type="dcterms:W3CDTF">2022-06-06T18:18:00Z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9a5257e2-d3d2-3673-9ee6-8714b8bf0a35</vt:lpwstr>
  </property>
</Properties>
</file>